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DDA32F"/>
    <w:p w14:paraId="7CE0BD4B"/>
    <w:p w14:paraId="1EF731FB"/>
    <w:p w14:paraId="1EFCC475"/>
    <w:p w14:paraId="3E5CB3A1">
      <w:pPr>
        <w:bidi w:val="0"/>
        <w:jc w:val="center"/>
        <w:rPr>
          <w:rFonts w:hint="eastAsia" w:ascii="黑体" w:hAnsi="黑体" w:eastAsia="黑体" w:cs="黑体"/>
          <w:sz w:val="36"/>
          <w:szCs w:val="36"/>
        </w:rPr>
      </w:pPr>
      <w:r>
        <w:rPr>
          <w:rFonts w:hint="eastAsia" w:ascii="黑体" w:hAnsi="黑体" w:eastAsia="黑体" w:cs="黑体"/>
          <w:sz w:val="36"/>
          <w:szCs w:val="36"/>
        </w:rPr>
        <w:t>东南电化公司离子膜烧碱用盐种扩展暨工业废盐除杂</w:t>
      </w:r>
      <w:bookmarkStart w:id="11" w:name="_GoBack"/>
      <w:bookmarkEnd w:id="11"/>
      <w:r>
        <w:rPr>
          <w:rFonts w:hint="eastAsia" w:ascii="黑体" w:hAnsi="黑体" w:eastAsia="黑体" w:cs="黑体"/>
          <w:sz w:val="36"/>
          <w:szCs w:val="36"/>
        </w:rPr>
        <w:t>项目</w:t>
      </w:r>
    </w:p>
    <w:p w14:paraId="24C91310">
      <w:pPr>
        <w:bidi w:val="0"/>
        <w:jc w:val="center"/>
        <w:rPr>
          <w:rFonts w:hint="eastAsia" w:ascii="黑体" w:hAnsi="黑体" w:eastAsia="黑体" w:cs="黑体"/>
          <w:sz w:val="36"/>
          <w:szCs w:val="36"/>
        </w:rPr>
      </w:pPr>
    </w:p>
    <w:p w14:paraId="2EF38BAD">
      <w:pPr>
        <w:bidi w:val="0"/>
        <w:jc w:val="center"/>
        <w:rPr>
          <w:rFonts w:hint="eastAsia" w:ascii="黑体" w:hAnsi="黑体" w:eastAsia="黑体" w:cs="黑体"/>
          <w:sz w:val="36"/>
          <w:szCs w:val="36"/>
        </w:rPr>
      </w:pPr>
    </w:p>
    <w:p w14:paraId="4F7430E0">
      <w:pPr>
        <w:bidi w:val="0"/>
        <w:jc w:val="center"/>
        <w:rPr>
          <w:rFonts w:hint="eastAsia" w:ascii="黑体" w:hAnsi="黑体" w:eastAsia="黑体" w:cs="黑体"/>
          <w:sz w:val="36"/>
          <w:szCs w:val="36"/>
        </w:rPr>
      </w:pPr>
    </w:p>
    <w:p w14:paraId="2210D449">
      <w:pPr>
        <w:bidi w:val="0"/>
        <w:jc w:val="center"/>
        <w:outlineLvl w:val="0"/>
        <w:rPr>
          <w:rFonts w:hint="eastAsia" w:ascii="黑体" w:hAnsi="黑体" w:eastAsia="黑体" w:cs="黑体"/>
          <w:sz w:val="36"/>
          <w:szCs w:val="36"/>
        </w:rPr>
      </w:pPr>
      <w:bookmarkStart w:id="0" w:name="_Toc13073"/>
      <w:r>
        <w:rPr>
          <w:rFonts w:hint="eastAsia" w:ascii="黑体" w:hAnsi="黑体" w:eastAsia="黑体" w:cs="黑体"/>
          <w:sz w:val="36"/>
          <w:szCs w:val="36"/>
          <w:lang w:val="en-US" w:eastAsia="zh-CN"/>
        </w:rPr>
        <w:t>金属离心泵工程规定</w:t>
      </w:r>
      <w:bookmarkEnd w:id="0"/>
    </w:p>
    <w:p w14:paraId="2AD7B559">
      <w:pPr>
        <w:bidi w:val="0"/>
        <w:jc w:val="center"/>
        <w:rPr>
          <w:rFonts w:hint="eastAsia" w:ascii="黑体" w:hAnsi="黑体" w:eastAsia="黑体" w:cs="黑体"/>
          <w:sz w:val="36"/>
          <w:szCs w:val="36"/>
        </w:rPr>
      </w:pPr>
    </w:p>
    <w:p w14:paraId="57E5C905">
      <w:pPr>
        <w:jc w:val="center"/>
        <w:rPr>
          <w:rFonts w:hint="eastAsia" w:ascii="黑体" w:hAnsi="黑体" w:eastAsia="黑体" w:cs="黑体"/>
          <w:b/>
          <w:bCs/>
          <w:spacing w:val="1"/>
          <w:sz w:val="96"/>
          <w:szCs w:val="96"/>
        </w:rPr>
      </w:pPr>
    </w:p>
    <w:p w14:paraId="37DC850E">
      <w:pPr>
        <w:jc w:val="center"/>
        <w:rPr>
          <w:rFonts w:hint="eastAsia" w:ascii="黑体" w:hAnsi="黑体" w:eastAsia="黑体" w:cs="黑体"/>
          <w:b/>
          <w:bCs/>
          <w:spacing w:val="1"/>
          <w:sz w:val="96"/>
          <w:szCs w:val="96"/>
        </w:rPr>
      </w:pPr>
    </w:p>
    <w:p w14:paraId="6D171735">
      <w:pPr>
        <w:jc w:val="center"/>
        <w:rPr>
          <w:rFonts w:hint="eastAsia" w:ascii="黑体" w:hAnsi="黑体" w:eastAsia="黑体" w:cs="黑体"/>
          <w:b/>
          <w:bCs/>
          <w:spacing w:val="1"/>
          <w:sz w:val="96"/>
          <w:szCs w:val="96"/>
        </w:rPr>
      </w:pPr>
    </w:p>
    <w:p w14:paraId="4951BB89">
      <w:pPr>
        <w:keepNext w:val="0"/>
        <w:keepLines w:val="0"/>
        <w:pageBreakBefore w:val="0"/>
        <w:widowControl/>
        <w:kinsoku w:val="0"/>
        <w:wordWrap/>
        <w:overflowPunct/>
        <w:topLinePunct w:val="0"/>
        <w:autoSpaceDE w:val="0"/>
        <w:autoSpaceDN w:val="0"/>
        <w:bidi w:val="0"/>
        <w:adjustRightInd w:val="0"/>
        <w:snapToGrid w:val="0"/>
        <w:spacing w:line="360" w:lineRule="auto"/>
        <w:ind w:firstLine="1280" w:firstLineChars="400"/>
        <w:jc w:val="left"/>
        <w:textAlignment w:val="baseline"/>
        <w:rPr>
          <w:rFonts w:hint="eastAsia" w:asciiTheme="minorEastAsia" w:hAnsiTheme="minorEastAsia" w:eastAsiaTheme="minorEastAsia" w:cstheme="minorEastAsia"/>
          <w:sz w:val="32"/>
          <w:szCs w:val="32"/>
        </w:rPr>
      </w:pPr>
    </w:p>
    <w:p w14:paraId="0F334B4C">
      <w:pPr>
        <w:keepNext w:val="0"/>
        <w:keepLines w:val="0"/>
        <w:pageBreakBefore w:val="0"/>
        <w:widowControl/>
        <w:kinsoku w:val="0"/>
        <w:wordWrap/>
        <w:overflowPunct/>
        <w:topLinePunct w:val="0"/>
        <w:autoSpaceDE w:val="0"/>
        <w:autoSpaceDN w:val="0"/>
        <w:bidi w:val="0"/>
        <w:adjustRightInd w:val="0"/>
        <w:snapToGrid w:val="0"/>
        <w:spacing w:line="360" w:lineRule="auto"/>
        <w:ind w:firstLine="1280" w:firstLineChars="400"/>
        <w:jc w:val="left"/>
        <w:textAlignment w:val="baseline"/>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买方：福建省东南电化股份有限公司</w:t>
      </w:r>
    </w:p>
    <w:p w14:paraId="14222DCA">
      <w:pPr>
        <w:keepNext w:val="0"/>
        <w:keepLines w:val="0"/>
        <w:pageBreakBefore w:val="0"/>
        <w:widowControl/>
        <w:kinsoku w:val="0"/>
        <w:wordWrap/>
        <w:overflowPunct/>
        <w:topLinePunct w:val="0"/>
        <w:autoSpaceDE w:val="0"/>
        <w:autoSpaceDN w:val="0"/>
        <w:bidi w:val="0"/>
        <w:adjustRightInd w:val="0"/>
        <w:snapToGrid w:val="0"/>
        <w:spacing w:line="360" w:lineRule="auto"/>
        <w:ind w:firstLine="1280" w:firstLineChars="400"/>
        <w:jc w:val="left"/>
        <w:textAlignment w:val="baseline"/>
        <w:rPr>
          <w:rFonts w:hint="eastAsia" w:asciiTheme="minorEastAsia" w:hAnsiTheme="minorEastAsia" w:eastAsiaTheme="minorEastAsia" w:cstheme="minorEastAsia"/>
          <w:sz w:val="32"/>
          <w:szCs w:val="32"/>
        </w:rPr>
        <w:sectPr>
          <w:pgSz w:w="11906" w:h="16838"/>
          <w:pgMar w:top="1440" w:right="1800" w:bottom="1440" w:left="1800" w:header="851" w:footer="992" w:gutter="0"/>
          <w:pgNumType w:fmt="decimal"/>
          <w:cols w:space="425" w:num="1"/>
          <w:docGrid w:type="lines" w:linePitch="312" w:charSpace="0"/>
        </w:sectPr>
      </w:pPr>
      <w:r>
        <w:rPr>
          <w:rFonts w:hint="eastAsia" w:asciiTheme="minorEastAsia" w:hAnsiTheme="minorEastAsia" w:eastAsiaTheme="minorEastAsia" w:cstheme="minorEastAsia"/>
          <w:sz w:val="32"/>
          <w:szCs w:val="32"/>
        </w:rPr>
        <w:t>卖方：</w:t>
      </w:r>
    </w:p>
    <w:sdt>
      <w:sdtPr>
        <w:rPr>
          <w:rFonts w:ascii="宋体" w:hAnsi="宋体" w:eastAsia="宋体" w:cs="Arial"/>
          <w:snapToGrid w:val="0"/>
          <w:color w:val="000000"/>
          <w:kern w:val="0"/>
          <w:sz w:val="21"/>
          <w:szCs w:val="21"/>
          <w:lang w:val="en-US" w:eastAsia="en-US" w:bidi="ar-SA"/>
        </w:rPr>
        <w:id w:val="147458915"/>
        <w15:color w:val="DBDBDB"/>
        <w:docPartObj>
          <w:docPartGallery w:val="Table of Contents"/>
          <w:docPartUnique/>
        </w:docPartObj>
      </w:sdtPr>
      <w:sdtEndPr>
        <w:rPr>
          <w:rFonts w:hint="eastAsia" w:ascii="宋体" w:hAnsi="宋体" w:eastAsia="宋体" w:cs="宋体"/>
          <w:snapToGrid w:val="0"/>
          <w:color w:val="000000"/>
          <w:kern w:val="0"/>
          <w:sz w:val="24"/>
          <w:szCs w:val="24"/>
          <w:lang w:val="en-US" w:eastAsia="en-US" w:bidi="ar-SA"/>
        </w:rPr>
      </w:sdtEndPr>
      <w:sdtContent>
        <w:p w14:paraId="212CCDA4">
          <w:pPr>
            <w:spacing w:before="0" w:beforeLines="0" w:after="0" w:afterLines="0" w:line="480" w:lineRule="auto"/>
            <w:ind w:left="0" w:leftChars="0" w:right="0" w:rightChars="0" w:firstLine="0" w:firstLineChars="0"/>
            <w:jc w:val="center"/>
            <w:rPr>
              <w:rFonts w:hint="eastAsia" w:ascii="宋体" w:hAnsi="宋体" w:eastAsia="宋体" w:cs="宋体"/>
              <w:b/>
              <w:bCs/>
              <w:sz w:val="24"/>
              <w:szCs w:val="24"/>
            </w:rPr>
          </w:pPr>
          <w:r>
            <w:rPr>
              <w:rFonts w:hint="eastAsia" w:ascii="宋体" w:hAnsi="宋体" w:eastAsia="宋体" w:cs="宋体"/>
              <w:b/>
              <w:bCs/>
              <w:sz w:val="24"/>
              <w:szCs w:val="24"/>
            </w:rPr>
            <w:t>目</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rPr>
            <w:t>录</w:t>
          </w:r>
        </w:p>
        <w:p w14:paraId="226B0323">
          <w:pPr>
            <w:pStyle w:val="10"/>
            <w:tabs>
              <w:tab w:val="right" w:leader="dot" w:pos="8306"/>
            </w:tabs>
            <w:spacing w:line="48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TOC \o "1-1" \h \u </w:instrText>
          </w:r>
          <w:r>
            <w:rPr>
              <w:rFonts w:hint="eastAsia" w:ascii="宋体" w:hAnsi="宋体" w:eastAsia="宋体" w:cs="宋体"/>
              <w:sz w:val="24"/>
              <w:szCs w:val="24"/>
            </w:rPr>
            <w:fldChar w:fldCharType="separate"/>
          </w:r>
        </w:p>
        <w:p w14:paraId="4B8BCE91">
          <w:pPr>
            <w:pStyle w:val="10"/>
            <w:tabs>
              <w:tab w:val="right" w:leader="dot" w:pos="8306"/>
            </w:tabs>
            <w:spacing w:line="48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_Toc24813 </w:instrText>
          </w:r>
          <w:r>
            <w:rPr>
              <w:rFonts w:hint="eastAsia" w:ascii="宋体" w:hAnsi="宋体" w:eastAsia="宋体" w:cs="宋体"/>
              <w:sz w:val="24"/>
              <w:szCs w:val="24"/>
            </w:rPr>
            <w:fldChar w:fldCharType="separate"/>
          </w:r>
          <w:r>
            <w:rPr>
              <w:rFonts w:hint="eastAsia" w:ascii="宋体" w:hAnsi="宋体" w:eastAsia="宋体" w:cs="宋体"/>
              <w:sz w:val="24"/>
              <w:szCs w:val="24"/>
            </w:rPr>
            <w:t>1.范围</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_Toc24813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2F6A3FA9">
          <w:pPr>
            <w:pStyle w:val="10"/>
            <w:tabs>
              <w:tab w:val="right" w:leader="dot" w:pos="8306"/>
            </w:tabs>
            <w:spacing w:line="48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_Toc126 </w:instrText>
          </w:r>
          <w:r>
            <w:rPr>
              <w:rFonts w:hint="eastAsia" w:ascii="宋体" w:hAnsi="宋体" w:eastAsia="宋体" w:cs="宋体"/>
              <w:sz w:val="24"/>
              <w:szCs w:val="24"/>
            </w:rPr>
            <w:fldChar w:fldCharType="separate"/>
          </w:r>
          <w:r>
            <w:rPr>
              <w:rFonts w:hint="eastAsia" w:ascii="宋体" w:hAnsi="宋体" w:eastAsia="宋体" w:cs="宋体"/>
              <w:sz w:val="24"/>
              <w:szCs w:val="24"/>
            </w:rPr>
            <w:t>2.应用的标准规范和规定</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_Toc126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1E629D86">
          <w:pPr>
            <w:pStyle w:val="10"/>
            <w:tabs>
              <w:tab w:val="right" w:leader="dot" w:pos="8306"/>
            </w:tabs>
            <w:spacing w:line="48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_Toc17935 </w:instrText>
          </w:r>
          <w:r>
            <w:rPr>
              <w:rFonts w:hint="eastAsia" w:ascii="宋体" w:hAnsi="宋体" w:eastAsia="宋体" w:cs="宋体"/>
              <w:sz w:val="24"/>
              <w:szCs w:val="24"/>
            </w:rPr>
            <w:fldChar w:fldCharType="separate"/>
          </w:r>
          <w:r>
            <w:rPr>
              <w:rFonts w:hint="eastAsia" w:ascii="宋体" w:hAnsi="宋体" w:eastAsia="宋体" w:cs="宋体"/>
              <w:sz w:val="24"/>
              <w:szCs w:val="24"/>
            </w:rPr>
            <w:t>3.设计原则</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_Toc17935 \h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0FD17D1A">
          <w:pPr>
            <w:pStyle w:val="10"/>
            <w:tabs>
              <w:tab w:val="right" w:leader="dot" w:pos="8306"/>
            </w:tabs>
            <w:spacing w:line="48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_Toc27010 </w:instrText>
          </w:r>
          <w:r>
            <w:rPr>
              <w:rFonts w:hint="eastAsia" w:ascii="宋体" w:hAnsi="宋体" w:eastAsia="宋体" w:cs="宋体"/>
              <w:sz w:val="24"/>
              <w:szCs w:val="24"/>
            </w:rPr>
            <w:fldChar w:fldCharType="separate"/>
          </w:r>
          <w:r>
            <w:rPr>
              <w:rFonts w:hint="eastAsia" w:ascii="宋体" w:hAnsi="宋体" w:eastAsia="宋体" w:cs="宋体"/>
              <w:sz w:val="24"/>
              <w:szCs w:val="24"/>
            </w:rPr>
            <w:t>4.附件</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_Toc27010 \h </w:instrText>
          </w:r>
          <w:r>
            <w:rPr>
              <w:rFonts w:hint="eastAsia" w:ascii="宋体" w:hAnsi="宋体" w:eastAsia="宋体" w:cs="宋体"/>
              <w:sz w:val="24"/>
              <w:szCs w:val="24"/>
            </w:rPr>
            <w:fldChar w:fldCharType="separate"/>
          </w:r>
          <w:r>
            <w:rPr>
              <w:rFonts w:hint="eastAsia" w:ascii="宋体" w:hAnsi="宋体" w:eastAsia="宋体" w:cs="宋体"/>
              <w:sz w:val="24"/>
              <w:szCs w:val="24"/>
            </w:rPr>
            <w:t>4</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11F0A8B0">
          <w:pPr>
            <w:pStyle w:val="10"/>
            <w:tabs>
              <w:tab w:val="right" w:leader="dot" w:pos="8306"/>
            </w:tabs>
            <w:spacing w:line="48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_Toc16360 </w:instrText>
          </w:r>
          <w:r>
            <w:rPr>
              <w:rFonts w:hint="eastAsia" w:ascii="宋体" w:hAnsi="宋体" w:eastAsia="宋体" w:cs="宋体"/>
              <w:sz w:val="24"/>
              <w:szCs w:val="24"/>
            </w:rPr>
            <w:fldChar w:fldCharType="separate"/>
          </w:r>
          <w:r>
            <w:rPr>
              <w:rFonts w:hint="eastAsia" w:ascii="宋体" w:hAnsi="宋体" w:eastAsia="宋体" w:cs="宋体"/>
              <w:sz w:val="24"/>
              <w:szCs w:val="24"/>
            </w:rPr>
            <w:t>5.涂漆涂色</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_Toc16360 \h </w:instrText>
          </w:r>
          <w:r>
            <w:rPr>
              <w:rFonts w:hint="eastAsia" w:ascii="宋体" w:hAnsi="宋体" w:eastAsia="宋体" w:cs="宋体"/>
              <w:sz w:val="24"/>
              <w:szCs w:val="24"/>
            </w:rPr>
            <w:fldChar w:fldCharType="separate"/>
          </w:r>
          <w:r>
            <w:rPr>
              <w:rFonts w:hint="eastAsia" w:ascii="宋体" w:hAnsi="宋体" w:eastAsia="宋体" w:cs="宋体"/>
              <w:sz w:val="24"/>
              <w:szCs w:val="24"/>
            </w:rPr>
            <w:t>5</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7F234248">
          <w:pPr>
            <w:pStyle w:val="10"/>
            <w:tabs>
              <w:tab w:val="right" w:leader="dot" w:pos="8306"/>
            </w:tabs>
            <w:spacing w:line="48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_Toc25319 </w:instrText>
          </w:r>
          <w:r>
            <w:rPr>
              <w:rFonts w:hint="eastAsia" w:ascii="宋体" w:hAnsi="宋体" w:eastAsia="宋体" w:cs="宋体"/>
              <w:sz w:val="24"/>
              <w:szCs w:val="24"/>
            </w:rPr>
            <w:fldChar w:fldCharType="separate"/>
          </w:r>
          <w:r>
            <w:rPr>
              <w:rFonts w:hint="eastAsia" w:ascii="宋体" w:hAnsi="宋体" w:eastAsia="宋体" w:cs="宋体"/>
              <w:sz w:val="24"/>
              <w:szCs w:val="24"/>
            </w:rPr>
            <w:t>6.性能保证</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_Toc25319 \h </w:instrText>
          </w:r>
          <w:r>
            <w:rPr>
              <w:rFonts w:hint="eastAsia" w:ascii="宋体" w:hAnsi="宋体" w:eastAsia="宋体" w:cs="宋体"/>
              <w:sz w:val="24"/>
              <w:szCs w:val="24"/>
            </w:rPr>
            <w:fldChar w:fldCharType="separate"/>
          </w:r>
          <w:r>
            <w:rPr>
              <w:rFonts w:hint="eastAsia" w:ascii="宋体" w:hAnsi="宋体" w:eastAsia="宋体" w:cs="宋体"/>
              <w:sz w:val="24"/>
              <w:szCs w:val="24"/>
            </w:rPr>
            <w:t>6</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0D7B7D34">
          <w:pPr>
            <w:pStyle w:val="10"/>
            <w:tabs>
              <w:tab w:val="right" w:leader="dot" w:pos="8306"/>
            </w:tabs>
            <w:spacing w:line="48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_Toc3587 </w:instrText>
          </w:r>
          <w:r>
            <w:rPr>
              <w:rFonts w:hint="eastAsia" w:ascii="宋体" w:hAnsi="宋体" w:eastAsia="宋体" w:cs="宋体"/>
              <w:sz w:val="24"/>
              <w:szCs w:val="24"/>
            </w:rPr>
            <w:fldChar w:fldCharType="separate"/>
          </w:r>
          <w:r>
            <w:rPr>
              <w:rFonts w:hint="eastAsia" w:ascii="宋体" w:hAnsi="宋体" w:eastAsia="宋体" w:cs="宋体"/>
              <w:sz w:val="24"/>
              <w:szCs w:val="24"/>
            </w:rPr>
            <w:t>7.检验和试验</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_Toc3587 \h </w:instrText>
          </w:r>
          <w:r>
            <w:rPr>
              <w:rFonts w:hint="eastAsia" w:ascii="宋体" w:hAnsi="宋体" w:eastAsia="宋体" w:cs="宋体"/>
              <w:sz w:val="24"/>
              <w:szCs w:val="24"/>
            </w:rPr>
            <w:fldChar w:fldCharType="separate"/>
          </w:r>
          <w:r>
            <w:rPr>
              <w:rFonts w:hint="eastAsia" w:ascii="宋体" w:hAnsi="宋体" w:eastAsia="宋体" w:cs="宋体"/>
              <w:sz w:val="24"/>
              <w:szCs w:val="24"/>
            </w:rPr>
            <w:t>6</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2042181E">
          <w:pPr>
            <w:pStyle w:val="10"/>
            <w:tabs>
              <w:tab w:val="right" w:leader="dot" w:pos="8306"/>
            </w:tabs>
            <w:spacing w:line="48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_Toc31825 </w:instrText>
          </w:r>
          <w:r>
            <w:rPr>
              <w:rFonts w:hint="eastAsia" w:ascii="宋体" w:hAnsi="宋体" w:eastAsia="宋体" w:cs="宋体"/>
              <w:sz w:val="24"/>
              <w:szCs w:val="24"/>
            </w:rPr>
            <w:fldChar w:fldCharType="separate"/>
          </w:r>
          <w:r>
            <w:rPr>
              <w:rFonts w:hint="eastAsia" w:ascii="宋体" w:hAnsi="宋体" w:eastAsia="宋体" w:cs="宋体"/>
              <w:sz w:val="24"/>
              <w:szCs w:val="24"/>
            </w:rPr>
            <w:t>8.运输的准备</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_Toc31825 \h </w:instrText>
          </w:r>
          <w:r>
            <w:rPr>
              <w:rFonts w:hint="eastAsia" w:ascii="宋体" w:hAnsi="宋体" w:eastAsia="宋体" w:cs="宋体"/>
              <w:sz w:val="24"/>
              <w:szCs w:val="24"/>
            </w:rPr>
            <w:fldChar w:fldCharType="separate"/>
          </w:r>
          <w:r>
            <w:rPr>
              <w:rFonts w:hint="eastAsia" w:ascii="宋体" w:hAnsi="宋体" w:eastAsia="宋体" w:cs="宋体"/>
              <w:sz w:val="24"/>
              <w:szCs w:val="24"/>
            </w:rPr>
            <w:t>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0222A973">
          <w:pPr>
            <w:pStyle w:val="10"/>
            <w:tabs>
              <w:tab w:val="right" w:leader="dot" w:pos="8306"/>
            </w:tabs>
            <w:spacing w:line="48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_Toc7861 </w:instrText>
          </w:r>
          <w:r>
            <w:rPr>
              <w:rFonts w:hint="eastAsia" w:ascii="宋体" w:hAnsi="宋体" w:eastAsia="宋体" w:cs="宋体"/>
              <w:sz w:val="24"/>
              <w:szCs w:val="24"/>
            </w:rPr>
            <w:fldChar w:fldCharType="separate"/>
          </w:r>
          <w:r>
            <w:rPr>
              <w:rFonts w:hint="eastAsia" w:ascii="宋体" w:hAnsi="宋体" w:eastAsia="宋体" w:cs="宋体"/>
              <w:sz w:val="24"/>
              <w:szCs w:val="24"/>
            </w:rPr>
            <w:t>9.本项目特殊要求</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_Toc7861 \h </w:instrText>
          </w:r>
          <w:r>
            <w:rPr>
              <w:rFonts w:hint="eastAsia" w:ascii="宋体" w:hAnsi="宋体" w:eastAsia="宋体" w:cs="宋体"/>
              <w:sz w:val="24"/>
              <w:szCs w:val="24"/>
            </w:rPr>
            <w:fldChar w:fldCharType="separate"/>
          </w:r>
          <w:r>
            <w:rPr>
              <w:rFonts w:hint="eastAsia" w:ascii="宋体" w:hAnsi="宋体" w:eastAsia="宋体" w:cs="宋体"/>
              <w:sz w:val="24"/>
              <w:szCs w:val="24"/>
            </w:rPr>
            <w:t>7</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7161F597">
          <w:pPr>
            <w:pStyle w:val="10"/>
            <w:tabs>
              <w:tab w:val="right" w:leader="dot" w:pos="8306"/>
            </w:tabs>
            <w:spacing w:line="480" w:lineRule="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_Toc31508 </w:instrText>
          </w:r>
          <w:r>
            <w:rPr>
              <w:rFonts w:hint="eastAsia" w:ascii="宋体" w:hAnsi="宋体" w:eastAsia="宋体" w:cs="宋体"/>
              <w:sz w:val="24"/>
              <w:szCs w:val="24"/>
            </w:rPr>
            <w:fldChar w:fldCharType="separate"/>
          </w:r>
          <w:r>
            <w:rPr>
              <w:rFonts w:hint="eastAsia" w:ascii="宋体" w:hAnsi="宋体" w:eastAsia="宋体" w:cs="宋体"/>
              <w:sz w:val="24"/>
              <w:szCs w:val="24"/>
            </w:rPr>
            <w:t>10.现场基础数据和公用工程</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_Toc31508 \h </w:instrText>
          </w:r>
          <w:r>
            <w:rPr>
              <w:rFonts w:hint="eastAsia" w:ascii="宋体" w:hAnsi="宋体" w:eastAsia="宋体" w:cs="宋体"/>
              <w:sz w:val="24"/>
              <w:szCs w:val="24"/>
            </w:rPr>
            <w:fldChar w:fldCharType="separate"/>
          </w:r>
          <w:r>
            <w:rPr>
              <w:rFonts w:hint="eastAsia" w:ascii="宋体" w:hAnsi="宋体" w:eastAsia="宋体" w:cs="宋体"/>
              <w:sz w:val="24"/>
              <w:szCs w:val="24"/>
            </w:rPr>
            <w:t>8</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14:paraId="78716864">
          <w:pPr>
            <w:spacing w:line="480" w:lineRule="auto"/>
            <w:rPr>
              <w:rFonts w:hint="eastAsia" w:ascii="宋体" w:hAnsi="宋体" w:eastAsia="宋体" w:cs="宋体"/>
              <w:sz w:val="24"/>
              <w:szCs w:val="24"/>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4"/>
              <w:szCs w:val="24"/>
            </w:rPr>
            <w:fldChar w:fldCharType="end"/>
          </w:r>
        </w:p>
      </w:sdtContent>
    </w:sdt>
    <w:p w14:paraId="7796F612"/>
    <w:p w14:paraId="3F3CDD7E">
      <w:pPr>
        <w:pStyle w:val="2"/>
        <w:keepNext/>
        <w:keepLines/>
        <w:pageBreakBefore w:val="0"/>
        <w:widowControl/>
        <w:kinsoku w:val="0"/>
        <w:wordWrap/>
        <w:overflowPunct/>
        <w:topLinePunct w:val="0"/>
        <w:autoSpaceDE w:val="0"/>
        <w:autoSpaceDN w:val="0"/>
        <w:bidi w:val="0"/>
        <w:adjustRightInd w:val="0"/>
        <w:snapToGrid w:val="0"/>
        <w:spacing w:before="0" w:after="0" w:line="360" w:lineRule="auto"/>
        <w:textAlignment w:val="baseline"/>
        <w:rPr>
          <w:rFonts w:hint="eastAsia" w:ascii="宋体" w:hAnsi="宋体" w:eastAsia="宋体" w:cs="宋体"/>
          <w:sz w:val="21"/>
          <w:szCs w:val="21"/>
        </w:rPr>
      </w:pPr>
      <w:bookmarkStart w:id="1" w:name="_Toc24813"/>
      <w:r>
        <w:rPr>
          <w:rFonts w:hint="eastAsia" w:ascii="宋体" w:hAnsi="宋体" w:eastAsia="宋体" w:cs="宋体"/>
          <w:sz w:val="21"/>
          <w:szCs w:val="21"/>
        </w:rPr>
        <w:t>1.范围</w:t>
      </w:r>
      <w:bookmarkEnd w:id="1"/>
    </w:p>
    <w:p w14:paraId="4D01C659">
      <w:pPr>
        <w:spacing w:line="360" w:lineRule="auto"/>
        <w:rPr>
          <w:rFonts w:hint="eastAsia" w:ascii="宋体" w:hAnsi="宋体" w:eastAsia="宋体" w:cs="宋体"/>
          <w:sz w:val="21"/>
          <w:szCs w:val="21"/>
        </w:rPr>
      </w:pPr>
      <w:r>
        <w:rPr>
          <w:rFonts w:hint="eastAsia" w:ascii="宋体" w:hAnsi="宋体" w:eastAsia="宋体" w:cs="宋体"/>
          <w:sz w:val="21"/>
          <w:szCs w:val="21"/>
        </w:rPr>
        <w:t>1.1本工程规定涵盖了对福建省东</w:t>
      </w:r>
      <w:r>
        <w:rPr>
          <w:rFonts w:hint="eastAsia" w:ascii="宋体" w:hAnsi="宋体" w:eastAsia="宋体" w:cs="宋体"/>
          <w:sz w:val="21"/>
          <w:szCs w:val="21"/>
        </w:rPr>
        <w:t>南电化股份有限公司</w:t>
      </w:r>
      <w:r>
        <w:rPr>
          <w:rFonts w:hint="eastAsia" w:ascii="宋体" w:hAnsi="宋体" w:eastAsia="宋体" w:cs="宋体"/>
          <w:sz w:val="21"/>
          <w:szCs w:val="21"/>
        </w:rPr>
        <w:t>离子膜烧碱用盐种扩展暨工业废盐除杂项目（采购及施工）</w:t>
      </w:r>
      <w:r>
        <w:rPr>
          <w:rFonts w:hint="eastAsia" w:ascii="宋体" w:hAnsi="宋体" w:eastAsia="宋体" w:cs="宋体"/>
          <w:sz w:val="21"/>
          <w:szCs w:val="21"/>
        </w:rPr>
        <w:t>用金属离心泵及其驱动机、辅助设备、检验试验、运输准备等的最低要求。</w:t>
      </w:r>
    </w:p>
    <w:p w14:paraId="12CE72BE">
      <w:pPr>
        <w:spacing w:line="360" w:lineRule="auto"/>
        <w:rPr>
          <w:rFonts w:hint="eastAsia" w:ascii="宋体" w:hAnsi="宋体" w:eastAsia="宋体" w:cs="宋体"/>
          <w:sz w:val="21"/>
          <w:szCs w:val="21"/>
          <w:lang w:eastAsia="zh-CN"/>
        </w:rPr>
      </w:pPr>
      <w:r>
        <w:rPr>
          <w:rFonts w:hint="eastAsia" w:ascii="宋体" w:hAnsi="宋体" w:eastAsia="宋体" w:cs="宋体"/>
          <w:sz w:val="21"/>
          <w:szCs w:val="21"/>
        </w:rPr>
        <w:t>1.2本规定应与福建省东南电化股份有限公司的数据单一起使用。如果所给出的任何数据或福建省东南电化股份有限公司数据单中的要求与执行的中国国家或国际规范有矛盾时，卖方应立即通知买方并要求解决方案</w:t>
      </w:r>
      <w:r>
        <w:rPr>
          <w:rFonts w:hint="eastAsia" w:ascii="宋体" w:hAnsi="宋体" w:eastAsia="宋体" w:cs="宋体"/>
          <w:sz w:val="21"/>
          <w:szCs w:val="21"/>
          <w:lang w:eastAsia="zh-CN"/>
        </w:rPr>
        <w:t>。</w:t>
      </w:r>
    </w:p>
    <w:p w14:paraId="33AC410D">
      <w:pPr>
        <w:spacing w:line="360" w:lineRule="auto"/>
        <w:rPr>
          <w:rFonts w:hint="eastAsia" w:ascii="宋体" w:hAnsi="宋体" w:eastAsia="宋体" w:cs="宋体"/>
          <w:sz w:val="21"/>
          <w:szCs w:val="21"/>
        </w:rPr>
      </w:pPr>
      <w:r>
        <w:rPr>
          <w:rFonts w:hint="eastAsia" w:ascii="宋体" w:hAnsi="宋体" w:eastAsia="宋体" w:cs="宋体"/>
          <w:sz w:val="21"/>
          <w:szCs w:val="21"/>
        </w:rPr>
        <w:t>1.3卖方有责任让分供商遵守本规定。</w:t>
      </w:r>
    </w:p>
    <w:p w14:paraId="39FFF57E">
      <w:pPr>
        <w:pStyle w:val="2"/>
        <w:keepNext/>
        <w:keepLines/>
        <w:pageBreakBefore w:val="0"/>
        <w:widowControl/>
        <w:kinsoku w:val="0"/>
        <w:wordWrap/>
        <w:overflowPunct/>
        <w:topLinePunct w:val="0"/>
        <w:autoSpaceDE w:val="0"/>
        <w:autoSpaceDN w:val="0"/>
        <w:bidi w:val="0"/>
        <w:adjustRightInd w:val="0"/>
        <w:snapToGrid w:val="0"/>
        <w:spacing w:before="0" w:after="0" w:line="360" w:lineRule="auto"/>
        <w:textAlignment w:val="baseline"/>
        <w:rPr>
          <w:rFonts w:hint="eastAsia" w:ascii="宋体" w:hAnsi="宋体" w:eastAsia="宋体" w:cs="宋体"/>
          <w:b/>
          <w:sz w:val="21"/>
          <w:szCs w:val="21"/>
        </w:rPr>
      </w:pPr>
      <w:bookmarkStart w:id="2" w:name="_Toc126"/>
      <w:r>
        <w:rPr>
          <w:rFonts w:hint="eastAsia" w:ascii="宋体" w:hAnsi="宋体" w:eastAsia="宋体" w:cs="宋体"/>
          <w:b/>
          <w:sz w:val="21"/>
          <w:szCs w:val="21"/>
        </w:rPr>
        <w:t>2.应用的标准规范和规定</w:t>
      </w:r>
      <w:bookmarkEnd w:id="2"/>
    </w:p>
    <w:p w14:paraId="4BBF2F74">
      <w:pPr>
        <w:spacing w:line="360" w:lineRule="auto"/>
        <w:rPr>
          <w:rFonts w:hint="eastAsia" w:ascii="宋体" w:hAnsi="宋体" w:eastAsia="宋体" w:cs="宋体"/>
          <w:sz w:val="21"/>
          <w:szCs w:val="21"/>
        </w:rPr>
      </w:pPr>
      <w:r>
        <w:rPr>
          <w:rFonts w:hint="eastAsia" w:ascii="宋体" w:hAnsi="宋体" w:eastAsia="宋体" w:cs="宋体"/>
          <w:sz w:val="21"/>
          <w:szCs w:val="21"/>
        </w:rPr>
        <w:t>2.1本项目中采用的标准规范的版本应是在合同生效之日起的最新版。</w:t>
      </w:r>
    </w:p>
    <w:p w14:paraId="1A9B6E03">
      <w:pPr>
        <w:spacing w:line="360" w:lineRule="auto"/>
        <w:rPr>
          <w:rFonts w:hint="eastAsia" w:ascii="宋体" w:hAnsi="宋体" w:eastAsia="宋体" w:cs="宋体"/>
          <w:sz w:val="21"/>
          <w:szCs w:val="21"/>
        </w:rPr>
      </w:pPr>
      <w:r>
        <w:rPr>
          <w:rFonts w:hint="eastAsia" w:ascii="宋体" w:hAnsi="宋体" w:eastAsia="宋体" w:cs="宋体"/>
          <w:sz w:val="21"/>
          <w:szCs w:val="21"/>
        </w:rPr>
        <w:t>2.2采用的标准和规范</w:t>
      </w:r>
    </w:p>
    <w:p w14:paraId="5255A25D">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（1）GB/T5656-2008《离心泵技术条件-Ⅱ类》</w:t>
      </w:r>
    </w:p>
    <w:p w14:paraId="39F2337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（2）ISO1940.1-2003《机械振动-刚性转子平衡质量要求》</w:t>
      </w:r>
    </w:p>
    <w:p w14:paraId="4F972C86">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（3）GB/T3214-2007《水泵流量的测量方法》</w:t>
      </w:r>
    </w:p>
    <w:p w14:paraId="3C8DB6C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（4）GB/T13469-2021《离心泵、混流泵与轴流泵系统经济运行》</w:t>
      </w:r>
    </w:p>
    <w:p w14:paraId="54880F4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（5）GB/T3216-2016《回转动力泵水力性能验收试验1级、2级和3级》</w:t>
      </w:r>
    </w:p>
    <w:p w14:paraId="45EBD4D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（6）API682-2014《离心泵和转子泵轴封系统》</w:t>
      </w:r>
    </w:p>
    <w:p w14:paraId="3B32189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（7）GB18613-2020《电动机能效限定值及能效等级》1级</w:t>
      </w:r>
    </w:p>
    <w:p w14:paraId="64111DE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（8）GB30254-2013《高压三相笼型异步电动机能效限定值及能效等级》1级</w:t>
      </w:r>
    </w:p>
    <w:p w14:paraId="34959257">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（9）GB/T755-2019《旋转电机定额和性能》</w:t>
      </w:r>
    </w:p>
    <w:p w14:paraId="6514516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（10）GB/T3836.1-2021《爆炸性环境第1部分：设备通用要求》</w:t>
      </w:r>
    </w:p>
    <w:p w14:paraId="66BDAA8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（11）GB/T3836.2-2021《爆炸性气体第2部分：由隔爆型“d”保护的设备》</w:t>
      </w:r>
    </w:p>
    <w:p w14:paraId="7F5552FD">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（12）GB/T29531-2013《泵的振动测量与评价方法》</w:t>
      </w:r>
    </w:p>
    <w:p w14:paraId="2E038E1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（13）GB/T29529-2013《泵的噪音测量与评价方法》</w:t>
      </w:r>
    </w:p>
    <w:p w14:paraId="2ECACFF7">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（14）HG/T20592-2009《钢制管法兰（PN系列）》B系列</w:t>
      </w:r>
    </w:p>
    <w:p w14:paraId="4CC4A61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（15）制造商标准</w:t>
      </w:r>
    </w:p>
    <w:p w14:paraId="1D7368A2">
      <w:pPr>
        <w:pStyle w:val="2"/>
        <w:keepNext/>
        <w:keepLines/>
        <w:pageBreakBefore w:val="0"/>
        <w:widowControl/>
        <w:kinsoku w:val="0"/>
        <w:wordWrap/>
        <w:overflowPunct/>
        <w:topLinePunct w:val="0"/>
        <w:autoSpaceDE w:val="0"/>
        <w:autoSpaceDN w:val="0"/>
        <w:bidi w:val="0"/>
        <w:adjustRightInd w:val="0"/>
        <w:snapToGrid w:val="0"/>
        <w:spacing w:before="0" w:after="0" w:line="360" w:lineRule="auto"/>
        <w:textAlignment w:val="baseline"/>
        <w:rPr>
          <w:rFonts w:hint="eastAsia" w:ascii="宋体" w:hAnsi="宋体" w:eastAsia="宋体" w:cs="宋体"/>
          <w:b/>
          <w:sz w:val="21"/>
          <w:szCs w:val="21"/>
        </w:rPr>
      </w:pPr>
      <w:bookmarkStart w:id="3" w:name="_Toc17935"/>
      <w:r>
        <w:rPr>
          <w:rFonts w:hint="eastAsia" w:ascii="宋体" w:hAnsi="宋体" w:eastAsia="宋体" w:cs="宋体"/>
          <w:b/>
          <w:sz w:val="21"/>
          <w:szCs w:val="21"/>
        </w:rPr>
        <w:t>3.设计原则</w:t>
      </w:r>
      <w:bookmarkEnd w:id="3"/>
    </w:p>
    <w:p w14:paraId="6AE5D516">
      <w:pPr>
        <w:spacing w:line="360" w:lineRule="auto"/>
        <w:rPr>
          <w:rFonts w:hint="eastAsia" w:ascii="宋体" w:hAnsi="宋体" w:eastAsia="宋体" w:cs="宋体"/>
          <w:sz w:val="21"/>
          <w:szCs w:val="21"/>
        </w:rPr>
      </w:pPr>
      <w:r>
        <w:rPr>
          <w:rFonts w:hint="eastAsia" w:ascii="宋体" w:hAnsi="宋体" w:eastAsia="宋体" w:cs="宋体"/>
          <w:sz w:val="21"/>
          <w:szCs w:val="21"/>
        </w:rPr>
        <w:t>3.1总则</w:t>
      </w:r>
    </w:p>
    <w:p w14:paraId="3FD30E74">
      <w:pPr>
        <w:spacing w:line="360" w:lineRule="auto"/>
        <w:rPr>
          <w:rFonts w:hint="eastAsia" w:ascii="宋体" w:hAnsi="宋体" w:eastAsia="宋体" w:cs="宋体"/>
          <w:sz w:val="21"/>
          <w:szCs w:val="21"/>
        </w:rPr>
      </w:pPr>
      <w:r>
        <w:rPr>
          <w:rFonts w:hint="eastAsia" w:ascii="宋体" w:hAnsi="宋体" w:eastAsia="宋体" w:cs="宋体"/>
          <w:sz w:val="21"/>
          <w:szCs w:val="21"/>
        </w:rPr>
        <w:t>3.1.1卖方有义务将本工程规定的要求通知分供商。</w:t>
      </w:r>
    </w:p>
    <w:p w14:paraId="36A07E47">
      <w:pPr>
        <w:spacing w:line="360" w:lineRule="auto"/>
        <w:rPr>
          <w:rFonts w:hint="eastAsia" w:ascii="宋体" w:hAnsi="宋体" w:eastAsia="宋体" w:cs="宋体"/>
          <w:sz w:val="21"/>
          <w:szCs w:val="21"/>
        </w:rPr>
      </w:pPr>
      <w:r>
        <w:rPr>
          <w:rFonts w:hint="eastAsia" w:ascii="宋体" w:hAnsi="宋体" w:eastAsia="宋体" w:cs="宋体"/>
          <w:sz w:val="21"/>
          <w:szCs w:val="21"/>
        </w:rPr>
        <w:t>3.1.2如果超出下列任何一项限制，应当选用API610标准的离心泵。</w:t>
      </w:r>
    </w:p>
    <w:p w14:paraId="2F3281D6">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a出口压力大于1.9MPaG；</w:t>
      </w:r>
    </w:p>
    <w:p w14:paraId="6894C37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b泵送温度大于等于225摄氏度；</w:t>
      </w:r>
    </w:p>
    <w:p w14:paraId="2D57E88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c悬臂泵叶轮直径大于333mm；</w:t>
      </w:r>
    </w:p>
    <w:p w14:paraId="3FA5395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d不设备用泵，且对泵的可靠性要求较高的场合；</w:t>
      </w:r>
    </w:p>
    <w:p w14:paraId="2EB528F2">
      <w:pPr>
        <w:spacing w:line="360" w:lineRule="auto"/>
        <w:rPr>
          <w:rFonts w:hint="eastAsia" w:ascii="宋体" w:hAnsi="宋体" w:eastAsia="宋体" w:cs="宋体"/>
          <w:sz w:val="21"/>
          <w:szCs w:val="21"/>
        </w:rPr>
      </w:pPr>
      <w:r>
        <w:rPr>
          <w:rFonts w:hint="eastAsia" w:ascii="宋体" w:hAnsi="宋体" w:eastAsia="宋体" w:cs="宋体"/>
          <w:sz w:val="21"/>
          <w:szCs w:val="21"/>
        </w:rPr>
        <w:t>3.1.3除非另有规定，泵、驱动机及其辅助设备应适用于本项目所在地的环境条件。泵和辅机须按照使用寿命15年(不包括易损件)，连续运转时间至少1年进行设计和制造。</w:t>
      </w:r>
    </w:p>
    <w:p w14:paraId="5000032B">
      <w:pPr>
        <w:spacing w:line="360" w:lineRule="auto"/>
        <w:rPr>
          <w:rFonts w:hint="eastAsia" w:ascii="宋体" w:hAnsi="宋体" w:eastAsia="宋体" w:cs="宋体"/>
          <w:sz w:val="21"/>
          <w:szCs w:val="21"/>
        </w:rPr>
      </w:pPr>
      <w:r>
        <w:rPr>
          <w:rFonts w:hint="eastAsia" w:ascii="宋体" w:hAnsi="宋体" w:eastAsia="宋体" w:cs="宋体"/>
          <w:sz w:val="21"/>
          <w:szCs w:val="21"/>
        </w:rPr>
        <w:t>3.1.4泵机组在相似操作条件下至少有3年安全运转的业绩。</w:t>
      </w:r>
    </w:p>
    <w:p w14:paraId="013527CF">
      <w:pPr>
        <w:spacing w:line="360" w:lineRule="auto"/>
        <w:rPr>
          <w:rFonts w:hint="eastAsia" w:ascii="宋体" w:hAnsi="宋体" w:eastAsia="宋体" w:cs="宋体"/>
          <w:sz w:val="21"/>
          <w:szCs w:val="21"/>
        </w:rPr>
      </w:pPr>
      <w:r>
        <w:rPr>
          <w:rFonts w:hint="eastAsia" w:ascii="宋体" w:hAnsi="宋体" w:eastAsia="宋体" w:cs="宋体"/>
          <w:sz w:val="21"/>
          <w:szCs w:val="21"/>
        </w:rPr>
        <w:t>3.1.5卖方应提供包括泵、驱动机和辅机在内的整个泵机组，并保证整个泵机组的性能。</w:t>
      </w:r>
    </w:p>
    <w:p w14:paraId="780B48A1">
      <w:pPr>
        <w:spacing w:line="360" w:lineRule="auto"/>
        <w:rPr>
          <w:rFonts w:hint="eastAsia" w:ascii="宋体" w:hAnsi="宋体" w:eastAsia="宋体" w:cs="宋体"/>
          <w:sz w:val="21"/>
          <w:szCs w:val="21"/>
        </w:rPr>
      </w:pPr>
      <w:r>
        <w:rPr>
          <w:rFonts w:hint="eastAsia" w:ascii="宋体" w:hAnsi="宋体" w:eastAsia="宋体" w:cs="宋体"/>
          <w:sz w:val="21"/>
          <w:szCs w:val="21"/>
        </w:rPr>
        <w:t>3.1.6整个泵机组应安装在同一底座上。</w:t>
      </w:r>
    </w:p>
    <w:p w14:paraId="0D72BBB6">
      <w:pPr>
        <w:spacing w:line="360" w:lineRule="auto"/>
        <w:rPr>
          <w:rFonts w:hint="eastAsia" w:ascii="宋体" w:hAnsi="宋体" w:eastAsia="宋体" w:cs="宋体"/>
          <w:sz w:val="21"/>
          <w:szCs w:val="21"/>
        </w:rPr>
      </w:pPr>
      <w:r>
        <w:rPr>
          <w:rFonts w:hint="eastAsia" w:ascii="宋体" w:hAnsi="宋体" w:eastAsia="宋体" w:cs="宋体"/>
          <w:sz w:val="21"/>
          <w:szCs w:val="21"/>
        </w:rPr>
        <w:t>3.1.7距离机组表面1米处的噪音不超过85dBA。</w:t>
      </w:r>
    </w:p>
    <w:p w14:paraId="448E1EDF">
      <w:pPr>
        <w:spacing w:line="360" w:lineRule="auto"/>
        <w:rPr>
          <w:rFonts w:hint="eastAsia" w:ascii="宋体" w:hAnsi="宋体" w:eastAsia="宋体" w:cs="宋体"/>
          <w:sz w:val="21"/>
          <w:szCs w:val="21"/>
        </w:rPr>
      </w:pPr>
      <w:r>
        <w:rPr>
          <w:rFonts w:hint="eastAsia" w:ascii="宋体" w:hAnsi="宋体" w:eastAsia="宋体" w:cs="宋体"/>
          <w:sz w:val="21"/>
          <w:szCs w:val="21"/>
        </w:rPr>
        <w:t>3.1.8不允许采用最大直径的叶轮，通过更换较大的叶轮，可以使扬程提高原扬程的5%。</w:t>
      </w:r>
    </w:p>
    <w:p w14:paraId="0C9450AF">
      <w:pPr>
        <w:spacing w:line="360" w:lineRule="auto"/>
        <w:rPr>
          <w:rFonts w:hint="eastAsia" w:ascii="宋体" w:hAnsi="宋体" w:eastAsia="宋体" w:cs="宋体"/>
          <w:sz w:val="21"/>
          <w:szCs w:val="21"/>
        </w:rPr>
      </w:pPr>
      <w:r>
        <w:rPr>
          <w:rFonts w:hint="eastAsia" w:ascii="宋体" w:hAnsi="宋体" w:eastAsia="宋体" w:cs="宋体"/>
          <w:sz w:val="21"/>
          <w:szCs w:val="21"/>
        </w:rPr>
        <w:t>3.1.9泵的有效汽蚀余量NPSHa应至少大于必须汽蚀余量NPSHr加上0.6米水柱余量，即</w:t>
      </w:r>
    </w:p>
    <w:p w14:paraId="3BBF122B">
      <w:pPr>
        <w:spacing w:line="360" w:lineRule="auto"/>
        <w:rPr>
          <w:rFonts w:hint="eastAsia" w:ascii="宋体" w:hAnsi="宋体" w:eastAsia="宋体" w:cs="宋体"/>
          <w:sz w:val="21"/>
          <w:szCs w:val="21"/>
        </w:rPr>
      </w:pPr>
      <w:r>
        <w:rPr>
          <w:rFonts w:hint="eastAsia" w:ascii="宋体" w:hAnsi="宋体" w:eastAsia="宋体" w:cs="宋体"/>
          <w:sz w:val="21"/>
          <w:szCs w:val="21"/>
        </w:rPr>
        <w:t>NPSHa≥NPSHr+0.6米。如泵的选型设计有效汽蚀余量NPSHa＜NPSHr+1米，应做汽蚀试验。</w:t>
      </w:r>
    </w:p>
    <w:p w14:paraId="50C97A38">
      <w:pPr>
        <w:spacing w:line="360" w:lineRule="auto"/>
        <w:rPr>
          <w:rFonts w:hint="eastAsia" w:ascii="宋体" w:hAnsi="宋体" w:eastAsia="宋体" w:cs="宋体"/>
          <w:sz w:val="21"/>
          <w:szCs w:val="21"/>
        </w:rPr>
      </w:pPr>
      <w:r>
        <w:rPr>
          <w:rFonts w:hint="eastAsia" w:ascii="宋体" w:hAnsi="宋体" w:eastAsia="宋体" w:cs="宋体"/>
          <w:sz w:val="21"/>
          <w:szCs w:val="21"/>
        </w:rPr>
        <w:t>3.1.10夹套，如有，必须带有清洗接口，以便整个通道可以清洗和排净。</w:t>
      </w:r>
    </w:p>
    <w:p w14:paraId="7D46A1A5">
      <w:pPr>
        <w:spacing w:line="360" w:lineRule="auto"/>
        <w:rPr>
          <w:rFonts w:hint="eastAsia" w:ascii="宋体" w:hAnsi="宋体" w:eastAsia="宋体" w:cs="宋体"/>
          <w:sz w:val="21"/>
          <w:szCs w:val="21"/>
        </w:rPr>
      </w:pPr>
      <w:r>
        <w:rPr>
          <w:rFonts w:hint="eastAsia" w:ascii="宋体" w:hAnsi="宋体" w:eastAsia="宋体" w:cs="宋体"/>
          <w:sz w:val="21"/>
          <w:szCs w:val="21"/>
        </w:rPr>
        <w:t>3.1.11除了立式支撑泵，泵应满足不拆卸进出口管道或者移动驱动机可以拆卸转子或内件。</w:t>
      </w:r>
    </w:p>
    <w:p w14:paraId="3B190241">
      <w:pPr>
        <w:spacing w:line="360" w:lineRule="auto"/>
        <w:rPr>
          <w:rFonts w:hint="eastAsia" w:ascii="宋体" w:hAnsi="宋体" w:eastAsia="宋体" w:cs="宋体"/>
          <w:sz w:val="21"/>
          <w:szCs w:val="21"/>
        </w:rPr>
      </w:pPr>
      <w:r>
        <w:rPr>
          <w:rFonts w:hint="eastAsia" w:ascii="宋体" w:hAnsi="宋体" w:eastAsia="宋体" w:cs="宋体"/>
          <w:sz w:val="21"/>
          <w:szCs w:val="21"/>
        </w:rPr>
        <w:t>3.1.12泵及其辅件应设计成适合室外安装和规定的环境条件。如有低或高环境温度、不正常的湿度</w:t>
      </w:r>
      <w:r>
        <w:rPr>
          <w:rFonts w:hint="eastAsia" w:ascii="宋体" w:hAnsi="宋体" w:eastAsia="宋体" w:cs="宋体"/>
          <w:sz w:val="21"/>
          <w:szCs w:val="21"/>
          <w:lang w:eastAsia="zh-CN"/>
        </w:rPr>
        <w:t>、</w:t>
      </w:r>
      <w:r>
        <w:rPr>
          <w:rFonts w:hint="eastAsia" w:ascii="宋体" w:hAnsi="宋体" w:eastAsia="宋体" w:cs="宋体"/>
          <w:sz w:val="21"/>
          <w:szCs w:val="21"/>
        </w:rPr>
        <w:t>灰尘或者腐蚀环境时，制造商应给出保护的建议。</w:t>
      </w:r>
    </w:p>
    <w:p w14:paraId="4D660374">
      <w:pPr>
        <w:spacing w:line="360" w:lineRule="auto"/>
        <w:rPr>
          <w:rFonts w:hint="eastAsia" w:ascii="宋体" w:hAnsi="宋体" w:eastAsia="宋体" w:cs="宋体"/>
          <w:sz w:val="21"/>
          <w:szCs w:val="21"/>
        </w:rPr>
      </w:pPr>
      <w:r>
        <w:rPr>
          <w:rFonts w:hint="eastAsia" w:ascii="宋体" w:hAnsi="宋体" w:eastAsia="宋体" w:cs="宋体"/>
          <w:sz w:val="21"/>
          <w:szCs w:val="21"/>
        </w:rPr>
        <w:t>3.1.13非灌浆底座要有足够的刚性承受管道外加的力和力矩，以便自由安装或者用螺栓固定在基础上。</w:t>
      </w:r>
    </w:p>
    <w:p w14:paraId="4D7C0088">
      <w:pPr>
        <w:spacing w:line="360" w:lineRule="auto"/>
        <w:rPr>
          <w:rFonts w:hint="eastAsia" w:ascii="宋体" w:hAnsi="宋体" w:eastAsia="宋体" w:cs="宋体"/>
          <w:sz w:val="21"/>
          <w:szCs w:val="21"/>
        </w:rPr>
      </w:pPr>
      <w:r>
        <w:rPr>
          <w:rFonts w:hint="eastAsia" w:ascii="宋体" w:hAnsi="宋体" w:eastAsia="宋体" w:cs="宋体"/>
          <w:sz w:val="21"/>
          <w:szCs w:val="21"/>
        </w:rPr>
        <w:t>3.1.14泵不得使用诱导轮。</w:t>
      </w:r>
    </w:p>
    <w:p w14:paraId="2459A8B0">
      <w:pPr>
        <w:spacing w:line="360" w:lineRule="auto"/>
        <w:rPr>
          <w:rFonts w:hint="eastAsia" w:ascii="宋体" w:hAnsi="宋体" w:eastAsia="宋体" w:cs="宋体"/>
          <w:sz w:val="21"/>
          <w:szCs w:val="21"/>
        </w:rPr>
      </w:pPr>
      <w:r>
        <w:rPr>
          <w:rFonts w:hint="eastAsia" w:ascii="宋体" w:hAnsi="宋体" w:eastAsia="宋体" w:cs="宋体"/>
          <w:sz w:val="21"/>
          <w:szCs w:val="21"/>
        </w:rPr>
        <w:t>3.1.15如无特殊要求，单级、卧式、端吸离心泵应采用后开门的结构型式。</w:t>
      </w:r>
    </w:p>
    <w:p w14:paraId="49BF0461">
      <w:pPr>
        <w:spacing w:line="360" w:lineRule="auto"/>
        <w:rPr>
          <w:rFonts w:hint="eastAsia" w:ascii="宋体" w:hAnsi="宋体" w:eastAsia="宋体" w:cs="宋体"/>
          <w:sz w:val="21"/>
          <w:szCs w:val="21"/>
        </w:rPr>
      </w:pPr>
      <w:r>
        <w:rPr>
          <w:rFonts w:hint="eastAsia" w:ascii="宋体" w:hAnsi="宋体" w:eastAsia="宋体" w:cs="宋体"/>
          <w:sz w:val="21"/>
          <w:szCs w:val="21"/>
        </w:rPr>
        <w:t>3.1.16不锈钢壳体需进行酸洗钝化处理。</w:t>
      </w:r>
    </w:p>
    <w:p w14:paraId="075818BB">
      <w:pPr>
        <w:spacing w:line="360" w:lineRule="auto"/>
        <w:rPr>
          <w:rFonts w:hint="eastAsia" w:ascii="宋体" w:hAnsi="宋体" w:eastAsia="宋体" w:cs="宋体"/>
          <w:sz w:val="21"/>
          <w:szCs w:val="21"/>
        </w:rPr>
      </w:pPr>
      <w:r>
        <w:rPr>
          <w:rFonts w:hint="eastAsia" w:ascii="宋体" w:hAnsi="宋体" w:eastAsia="宋体" w:cs="宋体"/>
          <w:sz w:val="21"/>
          <w:szCs w:val="21"/>
        </w:rPr>
        <w:t>3.2承压泵体</w:t>
      </w:r>
    </w:p>
    <w:p w14:paraId="4D445FDE">
      <w:pPr>
        <w:spacing w:line="360" w:lineRule="auto"/>
        <w:rPr>
          <w:rFonts w:hint="eastAsia" w:ascii="宋体" w:hAnsi="宋体" w:eastAsia="宋体" w:cs="宋体"/>
          <w:sz w:val="21"/>
          <w:szCs w:val="21"/>
        </w:rPr>
      </w:pPr>
      <w:r>
        <w:rPr>
          <w:rFonts w:hint="eastAsia" w:ascii="宋体" w:hAnsi="宋体" w:eastAsia="宋体" w:cs="宋体"/>
          <w:sz w:val="21"/>
          <w:szCs w:val="21"/>
        </w:rPr>
        <w:t>3.2.1泵壳在操作温度下的最大允许工作压力至少按照所采用标准的最低等级。泵壳在20℃下的最大允许工作压力至少为16bar。</w:t>
      </w:r>
    </w:p>
    <w:p w14:paraId="76C4E14D">
      <w:pPr>
        <w:spacing w:line="360" w:lineRule="auto"/>
        <w:rPr>
          <w:rFonts w:hint="eastAsia" w:ascii="宋体" w:hAnsi="宋体" w:eastAsia="宋体" w:cs="宋体"/>
          <w:sz w:val="21"/>
          <w:szCs w:val="21"/>
        </w:rPr>
      </w:pPr>
      <w:r>
        <w:rPr>
          <w:rFonts w:hint="eastAsia" w:ascii="宋体" w:hAnsi="宋体" w:eastAsia="宋体" w:cs="宋体"/>
          <w:sz w:val="21"/>
          <w:szCs w:val="21"/>
        </w:rPr>
        <w:t>3.2.2在最高许用压力和两倍许用管口载荷同时存在的条件下，压力泵壳不应有泄漏或者转子和定子不能互相接触。</w:t>
      </w:r>
    </w:p>
    <w:p w14:paraId="3BC03ADA">
      <w:pPr>
        <w:spacing w:line="360" w:lineRule="auto"/>
        <w:rPr>
          <w:rFonts w:hint="eastAsia" w:ascii="宋体" w:hAnsi="宋体" w:eastAsia="宋体" w:cs="宋体"/>
          <w:sz w:val="21"/>
          <w:szCs w:val="21"/>
        </w:rPr>
      </w:pPr>
      <w:r>
        <w:rPr>
          <w:rFonts w:hint="eastAsia" w:ascii="宋体" w:hAnsi="宋体" w:eastAsia="宋体" w:cs="宋体"/>
          <w:sz w:val="21"/>
          <w:szCs w:val="21"/>
        </w:rPr>
        <w:t>3.3泵体连接</w:t>
      </w:r>
    </w:p>
    <w:p w14:paraId="240200F5">
      <w:pPr>
        <w:spacing w:line="360" w:lineRule="auto"/>
        <w:rPr>
          <w:rFonts w:hint="eastAsia" w:ascii="宋体" w:hAnsi="宋体" w:eastAsia="宋体" w:cs="宋体"/>
          <w:sz w:val="21"/>
          <w:szCs w:val="21"/>
        </w:rPr>
      </w:pPr>
      <w:r>
        <w:rPr>
          <w:rFonts w:hint="eastAsia" w:ascii="宋体" w:hAnsi="宋体" w:eastAsia="宋体" w:cs="宋体"/>
          <w:sz w:val="21"/>
          <w:szCs w:val="21"/>
        </w:rPr>
        <w:t>3.3.1除非另有规定，所有接口均为法兰连接，进出口法兰应采用相同的压力等级，压力等级按照数据单的要求。法兰标准为HG/T20592-2009B系列。</w:t>
      </w:r>
    </w:p>
    <w:p w14:paraId="71C6661E">
      <w:pPr>
        <w:spacing w:line="360" w:lineRule="auto"/>
        <w:rPr>
          <w:rFonts w:hint="eastAsia" w:ascii="宋体" w:hAnsi="宋体" w:eastAsia="宋体" w:cs="宋体"/>
          <w:sz w:val="21"/>
          <w:szCs w:val="21"/>
        </w:rPr>
      </w:pPr>
      <w:r>
        <w:rPr>
          <w:rFonts w:hint="eastAsia" w:ascii="宋体" w:hAnsi="宋体" w:eastAsia="宋体" w:cs="宋体"/>
          <w:sz w:val="21"/>
          <w:szCs w:val="21"/>
        </w:rPr>
        <w:t>3.3.2法兰的螺栓孔应跨中均布。</w:t>
      </w:r>
    </w:p>
    <w:p w14:paraId="4CDFAE68">
      <w:pPr>
        <w:spacing w:line="360" w:lineRule="auto"/>
        <w:rPr>
          <w:rFonts w:hint="eastAsia" w:ascii="宋体" w:hAnsi="宋体" w:eastAsia="宋体" w:cs="宋体"/>
          <w:sz w:val="21"/>
          <w:szCs w:val="21"/>
        </w:rPr>
      </w:pPr>
      <w:r>
        <w:rPr>
          <w:rFonts w:hint="eastAsia" w:ascii="宋体" w:hAnsi="宋体" w:eastAsia="宋体" w:cs="宋体"/>
          <w:sz w:val="21"/>
          <w:szCs w:val="21"/>
        </w:rPr>
        <w:t>3.3.3垫片材料不允许用石棉。</w:t>
      </w:r>
    </w:p>
    <w:p w14:paraId="0805D6BC">
      <w:pPr>
        <w:spacing w:line="360" w:lineRule="auto"/>
        <w:rPr>
          <w:rFonts w:hint="eastAsia" w:ascii="宋体" w:hAnsi="宋体" w:eastAsia="宋体" w:cs="宋体"/>
          <w:sz w:val="21"/>
          <w:szCs w:val="21"/>
        </w:rPr>
      </w:pPr>
      <w:r>
        <w:rPr>
          <w:rFonts w:hint="eastAsia" w:ascii="宋体" w:hAnsi="宋体" w:eastAsia="宋体" w:cs="宋体"/>
          <w:sz w:val="21"/>
          <w:szCs w:val="21"/>
        </w:rPr>
        <w:t>3.3.4卖方应提供进出口法兰允许的力和力矩。</w:t>
      </w:r>
    </w:p>
    <w:p w14:paraId="2585594D">
      <w:pPr>
        <w:spacing w:line="360" w:lineRule="auto"/>
        <w:rPr>
          <w:rFonts w:hint="eastAsia" w:ascii="宋体" w:hAnsi="宋体" w:eastAsia="宋体" w:cs="宋体"/>
          <w:sz w:val="21"/>
          <w:szCs w:val="21"/>
        </w:rPr>
      </w:pPr>
      <w:r>
        <w:rPr>
          <w:rFonts w:hint="eastAsia" w:ascii="宋体" w:hAnsi="宋体" w:eastAsia="宋体" w:cs="宋体"/>
          <w:sz w:val="21"/>
          <w:szCs w:val="21"/>
        </w:rPr>
        <w:t>3.3.5泵体低点处放净口应带阀放净系统，阀采用法兰连接，包括放净阀、管路、末端带盲法兰</w:t>
      </w:r>
      <w:r>
        <w:rPr>
          <w:rFonts w:hint="eastAsia" w:ascii="宋体" w:hAnsi="宋体" w:eastAsia="宋体" w:cs="宋体"/>
          <w:sz w:val="21"/>
          <w:szCs w:val="21"/>
          <w:lang w:eastAsia="zh-CN"/>
        </w:rPr>
        <w:t>，</w:t>
      </w:r>
      <w:r>
        <w:rPr>
          <w:rFonts w:hint="eastAsia" w:ascii="宋体" w:hAnsi="宋体" w:eastAsia="宋体" w:cs="宋体"/>
          <w:sz w:val="21"/>
          <w:szCs w:val="21"/>
        </w:rPr>
        <w:t>材质和压力等级不低于泵体。排净口的布置应便于泵入口配管和操作。</w:t>
      </w:r>
    </w:p>
    <w:p w14:paraId="068E4DD5">
      <w:pPr>
        <w:spacing w:line="360" w:lineRule="auto"/>
        <w:rPr>
          <w:rFonts w:hint="eastAsia" w:ascii="宋体" w:hAnsi="宋体" w:eastAsia="宋体" w:cs="宋体"/>
          <w:sz w:val="21"/>
          <w:szCs w:val="21"/>
        </w:rPr>
      </w:pPr>
      <w:r>
        <w:rPr>
          <w:rFonts w:hint="eastAsia" w:ascii="宋体" w:hAnsi="宋体" w:eastAsia="宋体" w:cs="宋体"/>
          <w:sz w:val="21"/>
          <w:szCs w:val="21"/>
        </w:rPr>
        <w:t>3.3.6泵体及过流腔应具有完全排气功能，应为自排气方式，以便于在泵启动前完全排空气体。</w:t>
      </w:r>
    </w:p>
    <w:p w14:paraId="08592AB6">
      <w:pPr>
        <w:spacing w:line="360" w:lineRule="auto"/>
        <w:rPr>
          <w:rFonts w:hint="eastAsia" w:ascii="宋体" w:hAnsi="宋体" w:eastAsia="宋体" w:cs="宋体"/>
          <w:sz w:val="21"/>
          <w:szCs w:val="21"/>
        </w:rPr>
      </w:pPr>
      <w:r>
        <w:rPr>
          <w:rFonts w:hint="eastAsia" w:ascii="宋体" w:hAnsi="宋体" w:eastAsia="宋体" w:cs="宋体"/>
          <w:sz w:val="21"/>
          <w:szCs w:val="21"/>
        </w:rPr>
        <w:t>3.3.7泵体上需表示出所有辅助连接的用途，特别是机封、夹套、轴承润滑和冷却。</w:t>
      </w:r>
    </w:p>
    <w:p w14:paraId="332F6FB4">
      <w:pPr>
        <w:spacing w:line="360" w:lineRule="auto"/>
        <w:rPr>
          <w:rFonts w:hint="eastAsia" w:ascii="宋体" w:hAnsi="宋体" w:eastAsia="宋体" w:cs="宋体"/>
          <w:sz w:val="21"/>
          <w:szCs w:val="21"/>
        </w:rPr>
      </w:pPr>
      <w:r>
        <w:rPr>
          <w:rFonts w:hint="eastAsia" w:ascii="宋体" w:hAnsi="宋体" w:eastAsia="宋体" w:cs="宋体"/>
          <w:sz w:val="21"/>
          <w:szCs w:val="21"/>
        </w:rPr>
        <w:t>3.3.8压力泵壳上的辅助连接，除了密封压盖，应为法兰结构。</w:t>
      </w:r>
    </w:p>
    <w:p w14:paraId="6FDC9840">
      <w:pPr>
        <w:spacing w:line="360" w:lineRule="auto"/>
        <w:rPr>
          <w:rFonts w:hint="eastAsia" w:ascii="宋体" w:hAnsi="宋体" w:eastAsia="宋体" w:cs="宋体"/>
          <w:sz w:val="21"/>
          <w:szCs w:val="21"/>
        </w:rPr>
      </w:pPr>
      <w:r>
        <w:rPr>
          <w:rFonts w:hint="eastAsia" w:ascii="宋体" w:hAnsi="宋体" w:eastAsia="宋体" w:cs="宋体"/>
          <w:sz w:val="21"/>
          <w:szCs w:val="21"/>
        </w:rPr>
        <w:t>3.4转子</w:t>
      </w:r>
    </w:p>
    <w:p w14:paraId="4BCFFCAE">
      <w:pPr>
        <w:spacing w:line="360" w:lineRule="auto"/>
        <w:rPr>
          <w:rFonts w:hint="eastAsia" w:ascii="宋体" w:hAnsi="宋体" w:eastAsia="宋体" w:cs="宋体"/>
          <w:sz w:val="21"/>
          <w:szCs w:val="21"/>
        </w:rPr>
      </w:pPr>
      <w:r>
        <w:rPr>
          <w:rFonts w:hint="eastAsia" w:ascii="宋体" w:hAnsi="宋体" w:eastAsia="宋体" w:cs="宋体"/>
          <w:sz w:val="21"/>
          <w:szCs w:val="21"/>
        </w:rPr>
        <w:t>3.4.1除非另有规定，叶轮应是全封闭的一体铸件。</w:t>
      </w:r>
    </w:p>
    <w:p w14:paraId="64B34623">
      <w:pPr>
        <w:spacing w:line="360" w:lineRule="auto"/>
        <w:rPr>
          <w:rFonts w:hint="eastAsia" w:ascii="宋体" w:hAnsi="宋体" w:eastAsia="宋体" w:cs="宋体"/>
          <w:sz w:val="21"/>
          <w:szCs w:val="21"/>
        </w:rPr>
      </w:pPr>
      <w:r>
        <w:rPr>
          <w:rFonts w:hint="eastAsia" w:ascii="宋体" w:hAnsi="宋体" w:eastAsia="宋体" w:cs="宋体"/>
          <w:sz w:val="21"/>
          <w:szCs w:val="21"/>
        </w:rPr>
        <w:t>3.4.2泵转子设计应使第一阶干临界转速至少高于泵的最大连续运转速度20%。</w:t>
      </w:r>
    </w:p>
    <w:p w14:paraId="6DB2EF3F">
      <w:pPr>
        <w:spacing w:line="360" w:lineRule="auto"/>
        <w:rPr>
          <w:rFonts w:hint="eastAsia" w:ascii="宋体" w:hAnsi="宋体" w:eastAsia="宋体" w:cs="宋体"/>
          <w:sz w:val="21"/>
          <w:szCs w:val="21"/>
        </w:rPr>
      </w:pPr>
      <w:r>
        <w:rPr>
          <w:rFonts w:hint="eastAsia" w:ascii="宋体" w:hAnsi="宋体" w:eastAsia="宋体" w:cs="宋体"/>
          <w:sz w:val="21"/>
          <w:szCs w:val="21"/>
        </w:rPr>
        <w:t>3.5轴承</w:t>
      </w:r>
    </w:p>
    <w:p w14:paraId="3DFF8312">
      <w:pPr>
        <w:spacing w:line="360" w:lineRule="auto"/>
        <w:rPr>
          <w:rFonts w:hint="eastAsia" w:ascii="宋体" w:hAnsi="宋体" w:eastAsia="宋体" w:cs="宋体"/>
          <w:sz w:val="21"/>
          <w:szCs w:val="21"/>
        </w:rPr>
      </w:pPr>
      <w:r>
        <w:rPr>
          <w:rFonts w:hint="eastAsia" w:ascii="宋体" w:hAnsi="宋体" w:eastAsia="宋体" w:cs="宋体"/>
          <w:sz w:val="21"/>
          <w:szCs w:val="21"/>
        </w:rPr>
        <w:t>3.5.1轴承应为标准型式，不得采用泵制造商自行制造的非标轴承。</w:t>
      </w:r>
    </w:p>
    <w:p w14:paraId="018A444A">
      <w:pPr>
        <w:spacing w:line="360" w:lineRule="auto"/>
        <w:rPr>
          <w:rFonts w:hint="eastAsia" w:ascii="宋体" w:hAnsi="宋体" w:eastAsia="宋体" w:cs="宋体"/>
          <w:sz w:val="21"/>
          <w:szCs w:val="21"/>
        </w:rPr>
      </w:pPr>
      <w:r>
        <w:rPr>
          <w:rFonts w:hint="eastAsia" w:ascii="宋体" w:hAnsi="宋体" w:eastAsia="宋体" w:cs="宋体"/>
          <w:sz w:val="21"/>
          <w:szCs w:val="21"/>
        </w:rPr>
        <w:t>3.5.2卖方应规定润滑的方式、润滑剂用量。对于油润滑轴承，应设有恒位油杯。</w:t>
      </w:r>
    </w:p>
    <w:p w14:paraId="68CC691A">
      <w:pPr>
        <w:spacing w:line="360" w:lineRule="auto"/>
        <w:rPr>
          <w:rFonts w:hint="eastAsia" w:ascii="宋体" w:hAnsi="宋体" w:eastAsia="宋体" w:cs="宋体"/>
          <w:sz w:val="21"/>
          <w:szCs w:val="21"/>
        </w:rPr>
      </w:pPr>
      <w:r>
        <w:rPr>
          <w:rFonts w:hint="eastAsia" w:ascii="宋体" w:hAnsi="宋体" w:eastAsia="宋体" w:cs="宋体"/>
          <w:sz w:val="21"/>
          <w:szCs w:val="21"/>
        </w:rPr>
        <w:t>3.5.3轴承润滑油温升不能超过40℃，出油温度不能超过82℃。</w:t>
      </w:r>
    </w:p>
    <w:p w14:paraId="384BC18C">
      <w:pPr>
        <w:spacing w:line="360" w:lineRule="auto"/>
        <w:rPr>
          <w:rFonts w:hint="eastAsia" w:ascii="宋体" w:hAnsi="宋体" w:eastAsia="宋体" w:cs="宋体"/>
          <w:sz w:val="21"/>
          <w:szCs w:val="21"/>
        </w:rPr>
      </w:pPr>
      <w:r>
        <w:rPr>
          <w:rFonts w:hint="eastAsia" w:ascii="宋体" w:hAnsi="宋体" w:eastAsia="宋体" w:cs="宋体"/>
          <w:sz w:val="21"/>
          <w:szCs w:val="21"/>
        </w:rPr>
        <w:t>3.5.4当轴承箱需要冷却时，最好采用盘管型式。盘管和附件的材料为有色金属材料或奥氏体不锈钢。如果使用夹套，不能采用垫片或者螺纹连接，以免冷却剂进入油箱。</w:t>
      </w:r>
    </w:p>
    <w:p w14:paraId="67C7C566">
      <w:pPr>
        <w:spacing w:line="360" w:lineRule="auto"/>
        <w:rPr>
          <w:rFonts w:hint="eastAsia" w:ascii="宋体" w:hAnsi="宋体" w:eastAsia="宋体" w:cs="宋体"/>
          <w:sz w:val="21"/>
          <w:szCs w:val="21"/>
        </w:rPr>
      </w:pPr>
      <w:r>
        <w:rPr>
          <w:rFonts w:hint="eastAsia" w:ascii="宋体" w:hAnsi="宋体" w:eastAsia="宋体" w:cs="宋体"/>
          <w:sz w:val="21"/>
          <w:szCs w:val="21"/>
        </w:rPr>
        <w:t>3.5.5在允许操作区域内，滚动轴承的运转寿命L10至少25000小时。</w:t>
      </w:r>
    </w:p>
    <w:p w14:paraId="3B6C8A0C">
      <w:pPr>
        <w:spacing w:line="360" w:lineRule="auto"/>
        <w:rPr>
          <w:rFonts w:hint="eastAsia" w:ascii="宋体" w:hAnsi="宋体" w:eastAsia="宋体" w:cs="宋体"/>
          <w:sz w:val="21"/>
          <w:szCs w:val="21"/>
        </w:rPr>
      </w:pPr>
      <w:r>
        <w:rPr>
          <w:rFonts w:hint="eastAsia" w:ascii="宋体" w:hAnsi="宋体" w:eastAsia="宋体" w:cs="宋体"/>
          <w:sz w:val="21"/>
          <w:szCs w:val="21"/>
        </w:rPr>
        <w:t>3.6轴封</w:t>
      </w:r>
    </w:p>
    <w:p w14:paraId="03367CD2">
      <w:pPr>
        <w:spacing w:line="360" w:lineRule="auto"/>
        <w:rPr>
          <w:rFonts w:hint="eastAsia" w:ascii="宋体" w:hAnsi="宋体" w:eastAsia="宋体" w:cs="宋体"/>
          <w:sz w:val="21"/>
          <w:szCs w:val="21"/>
        </w:rPr>
      </w:pPr>
      <w:r>
        <w:rPr>
          <w:rFonts w:hint="eastAsia" w:ascii="宋体" w:hAnsi="宋体" w:eastAsia="宋体" w:cs="宋体"/>
          <w:sz w:val="21"/>
          <w:szCs w:val="21"/>
        </w:rPr>
        <w:t>3.6.1轴封应方便检查和更换。</w:t>
      </w:r>
    </w:p>
    <w:p w14:paraId="0F6067CD">
      <w:pPr>
        <w:spacing w:line="360" w:lineRule="auto"/>
        <w:rPr>
          <w:rFonts w:hint="eastAsia" w:ascii="宋体" w:hAnsi="宋体" w:eastAsia="宋体" w:cs="宋体"/>
          <w:sz w:val="21"/>
          <w:szCs w:val="21"/>
        </w:rPr>
      </w:pPr>
      <w:r>
        <w:rPr>
          <w:rFonts w:hint="eastAsia" w:ascii="宋体" w:hAnsi="宋体" w:eastAsia="宋体" w:cs="宋体"/>
          <w:sz w:val="21"/>
          <w:szCs w:val="21"/>
        </w:rPr>
        <w:t>3.6.2轴封应选用机械密封。机械密封系统的供货范围按照API682-2014附录G。机械密封系统由密封制造商供货。</w:t>
      </w:r>
    </w:p>
    <w:p w14:paraId="3A80BA6C">
      <w:pPr>
        <w:spacing w:line="360" w:lineRule="auto"/>
        <w:rPr>
          <w:rFonts w:hint="eastAsia" w:ascii="宋体" w:hAnsi="宋体" w:eastAsia="宋体" w:cs="宋体"/>
          <w:sz w:val="21"/>
          <w:szCs w:val="21"/>
        </w:rPr>
      </w:pPr>
      <w:r>
        <w:rPr>
          <w:rFonts w:hint="eastAsia" w:ascii="宋体" w:hAnsi="宋体" w:eastAsia="宋体" w:cs="宋体"/>
          <w:sz w:val="21"/>
          <w:szCs w:val="21"/>
        </w:rPr>
        <w:t>3.6.3机械密封冲洗管路的材料最低采用SS304不锈钢，如果接触泵送介质，不得低于泵体过流部件的材料。</w:t>
      </w:r>
    </w:p>
    <w:p w14:paraId="391B6103">
      <w:pPr>
        <w:spacing w:line="360" w:lineRule="auto"/>
        <w:rPr>
          <w:rFonts w:hint="eastAsia" w:ascii="宋体" w:hAnsi="宋体" w:eastAsia="宋体" w:cs="宋体"/>
          <w:sz w:val="21"/>
          <w:szCs w:val="21"/>
        </w:rPr>
      </w:pPr>
      <w:r>
        <w:rPr>
          <w:rFonts w:hint="eastAsia" w:ascii="宋体" w:hAnsi="宋体" w:eastAsia="宋体" w:cs="宋体"/>
          <w:sz w:val="21"/>
          <w:szCs w:val="21"/>
        </w:rPr>
        <w:t>3.6.4机械密封和压盖必须运输前装好，并且可以运转。如果密封需在现场调节和安装，制造商必须在密封处贴上警示标签。</w:t>
      </w:r>
    </w:p>
    <w:p w14:paraId="5543EAD1">
      <w:pPr>
        <w:spacing w:line="360" w:lineRule="auto"/>
        <w:rPr>
          <w:rFonts w:hint="eastAsia" w:ascii="宋体" w:hAnsi="宋体" w:eastAsia="宋体" w:cs="宋体"/>
          <w:sz w:val="21"/>
          <w:szCs w:val="21"/>
        </w:rPr>
      </w:pPr>
      <w:r>
        <w:rPr>
          <w:rFonts w:hint="eastAsia" w:ascii="宋体" w:hAnsi="宋体" w:eastAsia="宋体" w:cs="宋体"/>
          <w:sz w:val="21"/>
          <w:szCs w:val="21"/>
        </w:rPr>
        <w:t>3.6.5泵送介质的操作温度低于0摄氏度时，须配备急冷防止结冰。</w:t>
      </w:r>
    </w:p>
    <w:p w14:paraId="498DF5D6">
      <w:pPr>
        <w:spacing w:line="360" w:lineRule="auto"/>
        <w:rPr>
          <w:rFonts w:hint="eastAsia" w:ascii="宋体" w:hAnsi="宋体" w:eastAsia="宋体" w:cs="宋体"/>
          <w:sz w:val="21"/>
          <w:szCs w:val="21"/>
        </w:rPr>
      </w:pPr>
      <w:r>
        <w:rPr>
          <w:rFonts w:hint="eastAsia" w:ascii="宋体" w:hAnsi="宋体" w:eastAsia="宋体" w:cs="宋体"/>
          <w:sz w:val="21"/>
          <w:szCs w:val="21"/>
        </w:rPr>
        <w:t>3.6.6立式泵的填料函应设有排放口，以免液体在电机支撑结构上积聚。</w:t>
      </w:r>
    </w:p>
    <w:p w14:paraId="14E8EB84">
      <w:pPr>
        <w:spacing w:line="360" w:lineRule="auto"/>
        <w:rPr>
          <w:rFonts w:hint="eastAsia" w:ascii="宋体" w:hAnsi="宋体" w:eastAsia="宋体" w:cs="宋体"/>
          <w:sz w:val="21"/>
          <w:szCs w:val="21"/>
        </w:rPr>
      </w:pPr>
      <w:r>
        <w:rPr>
          <w:rFonts w:hint="eastAsia" w:ascii="宋体" w:hAnsi="宋体" w:eastAsia="宋体" w:cs="宋体"/>
          <w:sz w:val="21"/>
          <w:szCs w:val="21"/>
        </w:rPr>
        <w:t>3.7动力性</w:t>
      </w:r>
    </w:p>
    <w:p w14:paraId="12B25AD2">
      <w:pPr>
        <w:spacing w:line="360" w:lineRule="auto"/>
        <w:rPr>
          <w:rFonts w:hint="eastAsia" w:ascii="宋体" w:hAnsi="宋体" w:eastAsia="宋体" w:cs="宋体"/>
          <w:sz w:val="21"/>
          <w:szCs w:val="21"/>
        </w:rPr>
      </w:pPr>
      <w:r>
        <w:rPr>
          <w:rFonts w:hint="eastAsia" w:ascii="宋体" w:hAnsi="宋体" w:eastAsia="宋体" w:cs="宋体"/>
          <w:sz w:val="21"/>
          <w:szCs w:val="21"/>
        </w:rPr>
        <w:t>3.7.1在额定转速和额定流量下振动限值不应超过所采用标准的最低等级。</w:t>
      </w:r>
    </w:p>
    <w:p w14:paraId="1E157184">
      <w:pPr>
        <w:spacing w:line="360" w:lineRule="auto"/>
        <w:rPr>
          <w:rFonts w:hint="eastAsia" w:ascii="宋体" w:hAnsi="宋体" w:eastAsia="宋体" w:cs="宋体"/>
          <w:sz w:val="21"/>
          <w:szCs w:val="21"/>
        </w:rPr>
      </w:pPr>
      <w:r>
        <w:rPr>
          <w:rFonts w:hint="eastAsia" w:ascii="宋体" w:hAnsi="宋体" w:eastAsia="宋体" w:cs="宋体"/>
          <w:sz w:val="21"/>
          <w:szCs w:val="21"/>
        </w:rPr>
        <w:t>3.7.2主要转动部件的动平衡按照ISO1940的规定进行。</w:t>
      </w:r>
    </w:p>
    <w:p w14:paraId="2C5A6538">
      <w:pPr>
        <w:spacing w:line="360" w:lineRule="auto"/>
        <w:rPr>
          <w:rFonts w:hint="eastAsia" w:ascii="宋体" w:hAnsi="宋体" w:eastAsia="宋体" w:cs="宋体"/>
          <w:sz w:val="21"/>
          <w:szCs w:val="21"/>
        </w:rPr>
      </w:pPr>
      <w:r>
        <w:rPr>
          <w:rFonts w:hint="eastAsia" w:ascii="宋体" w:hAnsi="宋体" w:eastAsia="宋体" w:cs="宋体"/>
          <w:sz w:val="21"/>
          <w:szCs w:val="21"/>
        </w:rPr>
        <w:t>3.8材料</w:t>
      </w:r>
    </w:p>
    <w:p w14:paraId="0A2BF3F0">
      <w:pPr>
        <w:spacing w:line="360" w:lineRule="auto"/>
        <w:rPr>
          <w:rFonts w:hint="eastAsia" w:ascii="宋体" w:hAnsi="宋体" w:eastAsia="宋体" w:cs="宋体"/>
          <w:sz w:val="21"/>
          <w:szCs w:val="21"/>
        </w:rPr>
      </w:pPr>
      <w:r>
        <w:rPr>
          <w:rFonts w:hint="eastAsia" w:ascii="宋体" w:hAnsi="宋体" w:eastAsia="宋体" w:cs="宋体"/>
          <w:sz w:val="21"/>
          <w:szCs w:val="21"/>
        </w:rPr>
        <w:t>3.8.1泵数据单上列出的材料用于参考，卖方可以根据使用经验提出更合适的材料供买方确认。</w:t>
      </w:r>
    </w:p>
    <w:p w14:paraId="5403433C">
      <w:pPr>
        <w:spacing w:line="360" w:lineRule="auto"/>
        <w:rPr>
          <w:rFonts w:hint="eastAsia" w:ascii="宋体" w:hAnsi="宋体" w:eastAsia="宋体" w:cs="宋体"/>
          <w:sz w:val="21"/>
          <w:szCs w:val="21"/>
        </w:rPr>
      </w:pPr>
      <w:r>
        <w:rPr>
          <w:rFonts w:hint="eastAsia" w:ascii="宋体" w:hAnsi="宋体" w:eastAsia="宋体" w:cs="宋体"/>
          <w:sz w:val="21"/>
          <w:szCs w:val="21"/>
        </w:rPr>
        <w:t>3.8.2禁止使用含石棉的材料。</w:t>
      </w:r>
    </w:p>
    <w:p w14:paraId="6D1D7EE8">
      <w:pPr>
        <w:spacing w:line="360" w:lineRule="auto"/>
        <w:rPr>
          <w:rFonts w:hint="eastAsia" w:ascii="宋体" w:hAnsi="宋体" w:eastAsia="宋体" w:cs="宋体"/>
          <w:sz w:val="21"/>
          <w:szCs w:val="21"/>
        </w:rPr>
      </w:pPr>
      <w:r>
        <w:rPr>
          <w:rFonts w:hint="eastAsia" w:ascii="宋体" w:hAnsi="宋体" w:eastAsia="宋体" w:cs="宋体"/>
          <w:sz w:val="21"/>
          <w:szCs w:val="21"/>
        </w:rPr>
        <w:t>3.8.3与泵送介质接触的所有垫片和O型圈的材料必须在报价时说明。</w:t>
      </w:r>
    </w:p>
    <w:p w14:paraId="751F70F8">
      <w:pPr>
        <w:spacing w:line="360" w:lineRule="auto"/>
        <w:rPr>
          <w:rFonts w:hint="eastAsia" w:ascii="宋体" w:hAnsi="宋体" w:eastAsia="宋体" w:cs="宋体"/>
          <w:sz w:val="21"/>
          <w:szCs w:val="21"/>
        </w:rPr>
      </w:pPr>
      <w:r>
        <w:rPr>
          <w:rFonts w:hint="eastAsia" w:ascii="宋体" w:hAnsi="宋体" w:eastAsia="宋体" w:cs="宋体"/>
          <w:sz w:val="21"/>
          <w:szCs w:val="21"/>
        </w:rPr>
        <w:t>3.8.4如果奥氏体不锈钢的部件在一些使用场合会出现晶间腐蚀，需使用低碳或稳定等级的不锈钢。</w:t>
      </w:r>
    </w:p>
    <w:p w14:paraId="5D8186F2">
      <w:pPr>
        <w:spacing w:line="360" w:lineRule="auto"/>
        <w:rPr>
          <w:rFonts w:hint="eastAsia" w:ascii="宋体" w:hAnsi="宋体" w:eastAsia="宋体" w:cs="宋体"/>
          <w:sz w:val="21"/>
          <w:szCs w:val="21"/>
        </w:rPr>
      </w:pPr>
      <w:r>
        <w:rPr>
          <w:rFonts w:hint="eastAsia" w:ascii="宋体" w:hAnsi="宋体" w:eastAsia="宋体" w:cs="宋体"/>
          <w:sz w:val="21"/>
          <w:szCs w:val="21"/>
        </w:rPr>
        <w:t>3.8.5国外供货机泵的材料需符合ASME规范或供货国的国家标准要求；国内供货机泵的材料需符合国标和部标有关标准。采用标准以外的材料，必须买方批准。</w:t>
      </w:r>
    </w:p>
    <w:p w14:paraId="4A1B2821">
      <w:pPr>
        <w:spacing w:line="360" w:lineRule="auto"/>
        <w:rPr>
          <w:rFonts w:hint="eastAsia" w:ascii="宋体" w:hAnsi="宋体" w:eastAsia="宋体" w:cs="宋体"/>
          <w:sz w:val="21"/>
          <w:szCs w:val="21"/>
        </w:rPr>
      </w:pPr>
      <w:r>
        <w:rPr>
          <w:rFonts w:hint="eastAsia" w:ascii="宋体" w:hAnsi="宋体" w:eastAsia="宋体" w:cs="宋体"/>
          <w:sz w:val="21"/>
          <w:szCs w:val="21"/>
        </w:rPr>
        <w:t>3.8.6输送、压缩腐蚀性介质的机泵设备应选耐腐蚀材料，材料牌号根据API和中国标准或制造厂标准（要求有运行业绩）。</w:t>
      </w:r>
    </w:p>
    <w:p w14:paraId="4334A8E9">
      <w:pPr>
        <w:spacing w:line="360" w:lineRule="auto"/>
        <w:rPr>
          <w:rFonts w:hint="eastAsia" w:ascii="宋体" w:hAnsi="宋体" w:eastAsia="宋体" w:cs="宋体"/>
          <w:sz w:val="21"/>
          <w:szCs w:val="21"/>
        </w:rPr>
      </w:pPr>
      <w:r>
        <w:rPr>
          <w:rFonts w:hint="eastAsia" w:ascii="宋体" w:hAnsi="宋体" w:eastAsia="宋体" w:cs="宋体"/>
          <w:sz w:val="21"/>
          <w:szCs w:val="21"/>
        </w:rPr>
        <w:t>3.8.7介质温度低于-20℃，机泵设备所用钢材需进行冲击试验，试验缺口为V型。</w:t>
      </w:r>
    </w:p>
    <w:p w14:paraId="1418A01E">
      <w:pPr>
        <w:spacing w:line="360" w:lineRule="auto"/>
        <w:rPr>
          <w:rFonts w:hint="eastAsia" w:ascii="宋体" w:hAnsi="宋体" w:eastAsia="宋体" w:cs="宋体"/>
          <w:sz w:val="21"/>
          <w:szCs w:val="21"/>
        </w:rPr>
      </w:pPr>
      <w:r>
        <w:rPr>
          <w:rFonts w:hint="eastAsia" w:ascii="宋体" w:hAnsi="宋体" w:eastAsia="宋体" w:cs="宋体"/>
          <w:sz w:val="21"/>
          <w:szCs w:val="21"/>
        </w:rPr>
        <w:t>3.8.8介质温度低于-40℃，机泵设备材料选用耐低温材料。所用低温材料需要进行低温性能检验。</w:t>
      </w:r>
    </w:p>
    <w:p w14:paraId="01FB16C1">
      <w:pPr>
        <w:spacing w:line="360" w:lineRule="auto"/>
        <w:rPr>
          <w:rFonts w:hint="eastAsia" w:ascii="宋体" w:hAnsi="宋体" w:eastAsia="宋体" w:cs="宋体"/>
          <w:sz w:val="21"/>
          <w:szCs w:val="21"/>
        </w:rPr>
      </w:pPr>
      <w:r>
        <w:rPr>
          <w:rFonts w:hint="eastAsia" w:ascii="宋体" w:hAnsi="宋体" w:eastAsia="宋体" w:cs="宋体"/>
          <w:sz w:val="21"/>
          <w:szCs w:val="21"/>
        </w:rPr>
        <w:t>3.8.9关键压缩机及泵的润滑油系统按照API614执行,其他对于不执行API614标准的机泵设备</w:t>
      </w:r>
      <w:r>
        <w:rPr>
          <w:rFonts w:hint="eastAsia" w:ascii="宋体" w:hAnsi="宋体" w:eastAsia="宋体" w:cs="宋体"/>
          <w:sz w:val="21"/>
          <w:szCs w:val="21"/>
          <w:lang w:eastAsia="zh-CN"/>
        </w:rPr>
        <w:t>，</w:t>
      </w:r>
      <w:r>
        <w:rPr>
          <w:rFonts w:hint="eastAsia" w:ascii="宋体" w:hAnsi="宋体" w:eastAsia="宋体" w:cs="宋体"/>
          <w:sz w:val="21"/>
          <w:szCs w:val="21"/>
        </w:rPr>
        <w:t>其润滑油、密封的管道和管件的材料应采用奥氏体不锈钢，法兰不允许用承插焊接，不允许用标准弯头，应采用大于三倍直径的弯管。</w:t>
      </w:r>
    </w:p>
    <w:p w14:paraId="341AAC76">
      <w:pPr>
        <w:spacing w:line="360" w:lineRule="auto"/>
        <w:rPr>
          <w:rFonts w:hint="eastAsia" w:ascii="宋体" w:hAnsi="宋体" w:eastAsia="宋体" w:cs="宋体"/>
          <w:sz w:val="21"/>
          <w:szCs w:val="21"/>
        </w:rPr>
      </w:pPr>
      <w:r>
        <w:rPr>
          <w:rFonts w:hint="eastAsia" w:ascii="宋体" w:hAnsi="宋体" w:eastAsia="宋体" w:cs="宋体"/>
          <w:sz w:val="21"/>
          <w:szCs w:val="21"/>
        </w:rPr>
        <w:t>3.8.10机泵设备的受压件为焊接结构时，焊缝需进行100%无损探伤检验。国外供货的机泵设备的无损探伤应符合相应的ASME标准规定；国内供货的应符合国标的相关规定。压缩机壳为焊接时，应提供残余应力报告。</w:t>
      </w:r>
    </w:p>
    <w:p w14:paraId="5245F0ED">
      <w:pPr>
        <w:spacing w:line="360" w:lineRule="auto"/>
        <w:rPr>
          <w:rFonts w:hint="eastAsia" w:ascii="宋体" w:hAnsi="宋体" w:eastAsia="宋体" w:cs="宋体"/>
          <w:sz w:val="21"/>
          <w:szCs w:val="21"/>
        </w:rPr>
      </w:pPr>
      <w:r>
        <w:rPr>
          <w:rFonts w:hint="eastAsia" w:ascii="宋体" w:hAnsi="宋体" w:eastAsia="宋体" w:cs="宋体"/>
          <w:sz w:val="21"/>
          <w:szCs w:val="21"/>
        </w:rPr>
        <w:t>3.9铭牌座和旋转箭头</w:t>
      </w:r>
    </w:p>
    <w:p w14:paraId="7B71D275">
      <w:pPr>
        <w:spacing w:line="360" w:lineRule="auto"/>
        <w:rPr>
          <w:rFonts w:hint="eastAsia" w:ascii="宋体" w:hAnsi="宋体" w:eastAsia="宋体" w:cs="宋体"/>
          <w:sz w:val="21"/>
          <w:szCs w:val="21"/>
        </w:rPr>
      </w:pPr>
      <w:r>
        <w:rPr>
          <w:rFonts w:hint="eastAsia" w:ascii="宋体" w:hAnsi="宋体" w:eastAsia="宋体" w:cs="宋体"/>
          <w:sz w:val="21"/>
          <w:szCs w:val="21"/>
        </w:rPr>
        <w:t>3.9.1在泵体和辅助设备的表面应设置清晰的304不锈钢铭牌座。</w:t>
      </w:r>
    </w:p>
    <w:p w14:paraId="747B6880">
      <w:pPr>
        <w:spacing w:line="360" w:lineRule="auto"/>
        <w:rPr>
          <w:rFonts w:hint="eastAsia" w:ascii="宋体" w:hAnsi="宋体" w:eastAsia="宋体" w:cs="宋体"/>
          <w:sz w:val="21"/>
          <w:szCs w:val="21"/>
        </w:rPr>
      </w:pPr>
      <w:r>
        <w:rPr>
          <w:rFonts w:hint="eastAsia" w:ascii="宋体" w:hAnsi="宋体" w:eastAsia="宋体" w:cs="宋体"/>
          <w:sz w:val="21"/>
          <w:szCs w:val="21"/>
        </w:rPr>
        <w:t>3.9.2铭牌座的内容至少包括：卖方名称、设备位号、设备名称、型号、流量、扬程、温度</w:t>
      </w:r>
      <w:r>
        <w:rPr>
          <w:rFonts w:hint="eastAsia" w:ascii="宋体" w:hAnsi="宋体" w:eastAsia="宋体" w:cs="宋体"/>
          <w:sz w:val="21"/>
          <w:szCs w:val="21"/>
          <w:lang w:eastAsia="zh-CN"/>
        </w:rPr>
        <w:t>、</w:t>
      </w:r>
      <w:r>
        <w:rPr>
          <w:rFonts w:hint="eastAsia" w:ascii="宋体" w:hAnsi="宋体" w:eastAsia="宋体" w:cs="宋体"/>
          <w:sz w:val="21"/>
          <w:szCs w:val="21"/>
        </w:rPr>
        <w:t>转速、额定电压、全载电流、绝缘等级、额定功率、防爆等级、生产日期等信息，单位采用SI单位制。语言种类为中文。</w:t>
      </w:r>
    </w:p>
    <w:p w14:paraId="7C1C58BC">
      <w:pPr>
        <w:spacing w:line="360" w:lineRule="auto"/>
        <w:rPr>
          <w:rFonts w:hint="eastAsia" w:ascii="宋体" w:hAnsi="宋体" w:eastAsia="宋体" w:cs="宋体"/>
          <w:sz w:val="21"/>
          <w:szCs w:val="21"/>
        </w:rPr>
      </w:pPr>
      <w:r>
        <w:rPr>
          <w:rFonts w:hint="eastAsia" w:ascii="宋体" w:hAnsi="宋体" w:eastAsia="宋体" w:cs="宋体"/>
          <w:sz w:val="21"/>
          <w:szCs w:val="21"/>
        </w:rPr>
        <w:t>3.9.3每个转动设备的显眼处应铸出或带有转向箭头。</w:t>
      </w:r>
    </w:p>
    <w:p w14:paraId="0E7AC6FB">
      <w:pPr>
        <w:spacing w:line="360" w:lineRule="auto"/>
        <w:rPr>
          <w:rFonts w:hint="eastAsia" w:ascii="宋体" w:hAnsi="宋体" w:eastAsia="宋体" w:cs="宋体"/>
          <w:sz w:val="21"/>
          <w:szCs w:val="21"/>
        </w:rPr>
      </w:pPr>
      <w:r>
        <w:rPr>
          <w:rFonts w:hint="eastAsia" w:ascii="宋体" w:hAnsi="宋体" w:eastAsia="宋体" w:cs="宋体"/>
          <w:sz w:val="21"/>
          <w:szCs w:val="21"/>
        </w:rPr>
        <w:t>3.9.4转向箭头应由不锈钢制成，固定的销钉应用相同的材料制成，不允许焊接。</w:t>
      </w:r>
    </w:p>
    <w:p w14:paraId="2CE0D171">
      <w:pPr>
        <w:pStyle w:val="2"/>
        <w:keepNext/>
        <w:keepLines/>
        <w:pageBreakBefore w:val="0"/>
        <w:widowControl/>
        <w:kinsoku w:val="0"/>
        <w:wordWrap/>
        <w:overflowPunct/>
        <w:topLinePunct w:val="0"/>
        <w:autoSpaceDE w:val="0"/>
        <w:autoSpaceDN w:val="0"/>
        <w:bidi w:val="0"/>
        <w:adjustRightInd w:val="0"/>
        <w:snapToGrid w:val="0"/>
        <w:spacing w:before="0" w:after="0" w:line="360" w:lineRule="auto"/>
        <w:textAlignment w:val="baseline"/>
        <w:rPr>
          <w:rFonts w:hint="eastAsia" w:ascii="宋体" w:hAnsi="宋体" w:eastAsia="宋体" w:cs="宋体"/>
          <w:b/>
          <w:sz w:val="21"/>
          <w:szCs w:val="21"/>
        </w:rPr>
      </w:pPr>
      <w:bookmarkStart w:id="4" w:name="_Toc27010"/>
      <w:r>
        <w:rPr>
          <w:rFonts w:hint="eastAsia" w:ascii="宋体" w:hAnsi="宋体" w:eastAsia="宋体" w:cs="宋体"/>
          <w:b/>
          <w:sz w:val="21"/>
          <w:szCs w:val="21"/>
        </w:rPr>
        <w:t>4.附件</w:t>
      </w:r>
      <w:bookmarkEnd w:id="4"/>
    </w:p>
    <w:p w14:paraId="42CA1B1E">
      <w:pPr>
        <w:spacing w:line="360" w:lineRule="auto"/>
        <w:rPr>
          <w:rFonts w:hint="eastAsia" w:ascii="宋体" w:hAnsi="宋体" w:eastAsia="宋体" w:cs="宋体"/>
          <w:sz w:val="21"/>
          <w:szCs w:val="21"/>
        </w:rPr>
      </w:pPr>
      <w:r>
        <w:rPr>
          <w:rFonts w:hint="eastAsia" w:ascii="宋体" w:hAnsi="宋体" w:eastAsia="宋体" w:cs="宋体"/>
          <w:sz w:val="21"/>
          <w:szCs w:val="21"/>
        </w:rPr>
        <w:t>4.1驱动机</w:t>
      </w:r>
    </w:p>
    <w:p w14:paraId="5D2BD75D">
      <w:pPr>
        <w:spacing w:line="360" w:lineRule="auto"/>
        <w:rPr>
          <w:rFonts w:hint="eastAsia" w:ascii="宋体" w:hAnsi="宋体" w:eastAsia="宋体" w:cs="宋体"/>
          <w:sz w:val="21"/>
          <w:szCs w:val="21"/>
        </w:rPr>
      </w:pPr>
      <w:r>
        <w:rPr>
          <w:rFonts w:hint="eastAsia" w:ascii="宋体" w:hAnsi="宋体" w:eastAsia="宋体" w:cs="宋体"/>
          <w:sz w:val="21"/>
          <w:szCs w:val="21"/>
        </w:rPr>
        <w:t>4.1.1电动机的额定功率（不包括服务系数）应至少等于泵额定轴功率的K倍。K值按下表规定：</w:t>
      </w:r>
    </w:p>
    <w:tbl>
      <w:tblPr>
        <w:tblStyle w:val="5"/>
        <w:tblW w:w="499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261"/>
        <w:gridCol w:w="4259"/>
      </w:tblGrid>
      <w:tr w14:paraId="1E111C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6EFC1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P(kW)</w:t>
            </w:r>
          </w:p>
        </w:tc>
        <w:tc>
          <w:tcPr>
            <w:tcW w:w="2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217C7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K</w:t>
            </w:r>
          </w:p>
        </w:tc>
      </w:tr>
      <w:tr w14:paraId="79D494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FD9A2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P≤22</w:t>
            </w:r>
          </w:p>
        </w:tc>
        <w:tc>
          <w:tcPr>
            <w:tcW w:w="2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0F26A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1.25</w:t>
            </w:r>
          </w:p>
        </w:tc>
      </w:tr>
      <w:tr w14:paraId="218D3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4F3C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22＜P≤55</w:t>
            </w:r>
          </w:p>
        </w:tc>
        <w:tc>
          <w:tcPr>
            <w:tcW w:w="2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2839D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1.15</w:t>
            </w:r>
          </w:p>
        </w:tc>
      </w:tr>
      <w:tr w14:paraId="4F02D4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2813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P＞55</w:t>
            </w:r>
          </w:p>
        </w:tc>
        <w:tc>
          <w:tcPr>
            <w:tcW w:w="24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464E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1.1</w:t>
            </w:r>
          </w:p>
        </w:tc>
      </w:tr>
    </w:tbl>
    <w:p w14:paraId="0EEC5D3D">
      <w:pPr>
        <w:spacing w:line="360" w:lineRule="auto"/>
        <w:rPr>
          <w:rFonts w:hint="eastAsia" w:ascii="宋体" w:hAnsi="宋体" w:eastAsia="宋体" w:cs="宋体"/>
          <w:sz w:val="21"/>
          <w:szCs w:val="21"/>
        </w:rPr>
      </w:pPr>
      <w:r>
        <w:rPr>
          <w:rFonts w:hint="eastAsia" w:ascii="宋体" w:hAnsi="宋体" w:eastAsia="宋体" w:cs="宋体"/>
          <w:sz w:val="21"/>
          <w:szCs w:val="21"/>
        </w:rPr>
        <w:t>4.1.2电动机应能在现场提供的公用工程和现场环境下安全达标地运转。</w:t>
      </w:r>
    </w:p>
    <w:p w14:paraId="1D350048">
      <w:pPr>
        <w:spacing w:line="360" w:lineRule="auto"/>
        <w:rPr>
          <w:rFonts w:hint="eastAsia" w:ascii="宋体" w:hAnsi="宋体" w:eastAsia="宋体" w:cs="宋体"/>
          <w:sz w:val="21"/>
          <w:szCs w:val="21"/>
        </w:rPr>
      </w:pPr>
      <w:r>
        <w:rPr>
          <w:rFonts w:hint="eastAsia" w:ascii="宋体" w:hAnsi="宋体" w:eastAsia="宋体" w:cs="宋体"/>
          <w:sz w:val="21"/>
          <w:szCs w:val="21"/>
        </w:rPr>
        <w:t>4.1.3除非另有规定，电动机应采用三相交流鼠笼型异步电动机。除屏蔽泵外，电机防护等级不低于IP55，绝缘等级为F级，温升按B级考核，防腐等级WTHF1。</w:t>
      </w:r>
    </w:p>
    <w:p w14:paraId="771881C7">
      <w:pPr>
        <w:spacing w:line="360" w:lineRule="auto"/>
        <w:rPr>
          <w:rFonts w:hint="eastAsia" w:ascii="宋体" w:hAnsi="宋体" w:eastAsia="宋体" w:cs="宋体"/>
          <w:sz w:val="21"/>
          <w:szCs w:val="21"/>
        </w:rPr>
      </w:pPr>
      <w:r>
        <w:rPr>
          <w:rFonts w:hint="eastAsia" w:ascii="宋体" w:hAnsi="宋体" w:eastAsia="宋体" w:cs="宋体"/>
          <w:sz w:val="21"/>
          <w:szCs w:val="21"/>
        </w:rPr>
        <w:t>4.1.4电机接线采用螺纹接口，接线口数量按照厂家标准配置，接线口数量和接口大小由买方确认。</w:t>
      </w:r>
    </w:p>
    <w:p w14:paraId="5A8D7F21">
      <w:pPr>
        <w:spacing w:line="360" w:lineRule="auto"/>
        <w:rPr>
          <w:rFonts w:hint="eastAsia" w:ascii="宋体" w:hAnsi="宋体" w:eastAsia="宋体" w:cs="宋体"/>
          <w:sz w:val="21"/>
          <w:szCs w:val="21"/>
        </w:rPr>
      </w:pPr>
      <w:r>
        <w:rPr>
          <w:rFonts w:hint="eastAsia" w:ascii="宋体" w:hAnsi="宋体" w:eastAsia="宋体" w:cs="宋体"/>
          <w:sz w:val="21"/>
          <w:szCs w:val="21"/>
        </w:rPr>
        <w:t>4.1.555kW及以上低压电机及高压电机配置绕组测温6个（3用3备），同时高压电机轴承2个温度监测，并设有独立的接线盒。若测温元件采用PT100（双支）型式，必须使用标准的三线制信号。</w:t>
      </w:r>
    </w:p>
    <w:p w14:paraId="6D60ACE7">
      <w:pPr>
        <w:spacing w:line="360" w:lineRule="auto"/>
        <w:rPr>
          <w:rFonts w:hint="eastAsia" w:ascii="宋体" w:hAnsi="宋体" w:eastAsia="宋体" w:cs="宋体"/>
          <w:sz w:val="21"/>
          <w:szCs w:val="21"/>
        </w:rPr>
      </w:pPr>
      <w:r>
        <w:rPr>
          <w:rFonts w:hint="eastAsia" w:ascii="宋体" w:hAnsi="宋体" w:eastAsia="宋体" w:cs="宋体"/>
          <w:sz w:val="21"/>
          <w:szCs w:val="21"/>
        </w:rPr>
        <w:t>4.1.6高压电动机需设有低压电源供电的加热器。</w:t>
      </w:r>
    </w:p>
    <w:p w14:paraId="22F699F5">
      <w:pPr>
        <w:spacing w:line="360" w:lineRule="auto"/>
        <w:rPr>
          <w:rFonts w:hint="eastAsia" w:ascii="宋体" w:hAnsi="宋体" w:eastAsia="宋体" w:cs="宋体"/>
          <w:sz w:val="21"/>
          <w:szCs w:val="21"/>
        </w:rPr>
      </w:pPr>
      <w:r>
        <w:rPr>
          <w:rFonts w:hint="eastAsia" w:ascii="宋体" w:hAnsi="宋体" w:eastAsia="宋体" w:cs="宋体"/>
          <w:sz w:val="21"/>
          <w:szCs w:val="21"/>
        </w:rPr>
        <w:t>4.2联轴器</w:t>
      </w:r>
    </w:p>
    <w:p w14:paraId="7CD6106A">
      <w:pPr>
        <w:spacing w:line="360" w:lineRule="auto"/>
        <w:rPr>
          <w:rFonts w:hint="eastAsia" w:ascii="宋体" w:hAnsi="宋体" w:eastAsia="宋体" w:cs="宋体"/>
          <w:sz w:val="21"/>
          <w:szCs w:val="21"/>
        </w:rPr>
      </w:pPr>
      <w:r>
        <w:rPr>
          <w:rFonts w:hint="eastAsia" w:ascii="宋体" w:hAnsi="宋体" w:eastAsia="宋体" w:cs="宋体"/>
          <w:sz w:val="21"/>
          <w:szCs w:val="21"/>
        </w:rPr>
        <w:t>4.2.1联轴器型式为膜片式，并配备联轴器的加长段。</w:t>
      </w:r>
    </w:p>
    <w:p w14:paraId="244CA4F7">
      <w:pPr>
        <w:spacing w:line="360" w:lineRule="auto"/>
        <w:rPr>
          <w:rFonts w:hint="eastAsia" w:ascii="宋体" w:hAnsi="宋体" w:eastAsia="宋体" w:cs="宋体"/>
          <w:sz w:val="21"/>
          <w:szCs w:val="21"/>
        </w:rPr>
      </w:pPr>
      <w:r>
        <w:rPr>
          <w:rFonts w:hint="eastAsia" w:ascii="宋体" w:hAnsi="宋体" w:eastAsia="宋体" w:cs="宋体"/>
          <w:sz w:val="21"/>
          <w:szCs w:val="21"/>
        </w:rPr>
        <w:t>4.2.2泵及其驱动机的传动联接应尽可能采用联轴器直接联接，联轴器优先选用膜片联轴器</w:t>
      </w:r>
      <w:r>
        <w:rPr>
          <w:rFonts w:hint="eastAsia" w:ascii="宋体" w:hAnsi="宋体" w:eastAsia="宋体" w:cs="宋体"/>
          <w:sz w:val="21"/>
          <w:szCs w:val="21"/>
          <w:lang w:eastAsia="zh-CN"/>
        </w:rPr>
        <w:t>。</w:t>
      </w:r>
      <w:r>
        <w:rPr>
          <w:rFonts w:hint="eastAsia" w:ascii="宋体" w:hAnsi="宋体" w:eastAsia="宋体" w:cs="宋体"/>
          <w:sz w:val="21"/>
          <w:szCs w:val="21"/>
        </w:rPr>
        <w:t>在防爆区的传动装置中联轴器防护罩材料应为无火花型。</w:t>
      </w:r>
    </w:p>
    <w:p w14:paraId="6E3C7CFD">
      <w:pPr>
        <w:spacing w:line="360" w:lineRule="auto"/>
        <w:rPr>
          <w:rFonts w:hint="eastAsia" w:ascii="宋体" w:hAnsi="宋体" w:eastAsia="宋体" w:cs="宋体"/>
          <w:sz w:val="21"/>
          <w:szCs w:val="21"/>
        </w:rPr>
      </w:pPr>
      <w:r>
        <w:rPr>
          <w:rFonts w:hint="eastAsia" w:ascii="宋体" w:hAnsi="宋体" w:eastAsia="宋体" w:cs="宋体"/>
          <w:sz w:val="21"/>
          <w:szCs w:val="21"/>
        </w:rPr>
        <w:t>4.2.3金属挠性加长段联轴器原则如下：挠性金属具有耐腐蚀性；如果挠性元件破裂，加长段能够维持原位；联轴器壳的材料为钢；加长段长度至少125mm而且在不拆卸驱动机或者进出口管路可以更换联轴器、轴承、密封和转子。</w:t>
      </w:r>
    </w:p>
    <w:p w14:paraId="2E32FB7B">
      <w:pPr>
        <w:spacing w:line="360" w:lineRule="auto"/>
        <w:rPr>
          <w:rFonts w:hint="eastAsia" w:ascii="宋体" w:hAnsi="宋体" w:eastAsia="宋体" w:cs="宋体"/>
          <w:sz w:val="21"/>
          <w:szCs w:val="21"/>
        </w:rPr>
      </w:pPr>
      <w:r>
        <w:rPr>
          <w:rFonts w:hint="eastAsia" w:ascii="宋体" w:hAnsi="宋体" w:eastAsia="宋体" w:cs="宋体"/>
          <w:sz w:val="21"/>
          <w:szCs w:val="21"/>
        </w:rPr>
        <w:t>4.2.4联轴器护罩需带视窗。</w:t>
      </w:r>
    </w:p>
    <w:p w14:paraId="2076EC92">
      <w:pPr>
        <w:spacing w:line="360" w:lineRule="auto"/>
        <w:rPr>
          <w:rFonts w:hint="eastAsia" w:ascii="宋体" w:hAnsi="宋体" w:eastAsia="宋体" w:cs="宋体"/>
          <w:sz w:val="21"/>
          <w:szCs w:val="21"/>
        </w:rPr>
      </w:pPr>
      <w:r>
        <w:rPr>
          <w:rFonts w:hint="eastAsia" w:ascii="宋体" w:hAnsi="宋体" w:eastAsia="宋体" w:cs="宋体"/>
          <w:sz w:val="21"/>
          <w:szCs w:val="21"/>
        </w:rPr>
        <w:t>4.2.5传动装置中联轴器防护罩材料应为无火花型，刚度能承受来自各个方向900牛顿的静载荷而不碰到转动部分，采用剖分式铰链结构，便于盘车。考虑到装置现场的气候环境条件，材料还应要耐腐蚀（推荐采用锌铝合金）。</w:t>
      </w:r>
    </w:p>
    <w:p w14:paraId="208898B5">
      <w:pPr>
        <w:spacing w:line="360" w:lineRule="auto"/>
        <w:rPr>
          <w:rFonts w:hint="eastAsia" w:ascii="宋体" w:hAnsi="宋体" w:eastAsia="宋体" w:cs="宋体"/>
          <w:sz w:val="21"/>
          <w:szCs w:val="21"/>
        </w:rPr>
      </w:pPr>
      <w:r>
        <w:rPr>
          <w:rFonts w:hint="eastAsia" w:ascii="宋体" w:hAnsi="宋体" w:eastAsia="宋体" w:cs="宋体"/>
          <w:sz w:val="21"/>
          <w:szCs w:val="21"/>
        </w:rPr>
        <w:t>4.3仪表和控制</w:t>
      </w:r>
    </w:p>
    <w:p w14:paraId="6A7CD343">
      <w:pPr>
        <w:spacing w:line="360" w:lineRule="auto"/>
        <w:rPr>
          <w:rFonts w:hint="eastAsia" w:ascii="宋体" w:hAnsi="宋体" w:eastAsia="宋体" w:cs="宋体"/>
          <w:sz w:val="21"/>
          <w:szCs w:val="21"/>
        </w:rPr>
      </w:pPr>
      <w:r>
        <w:rPr>
          <w:rFonts w:hint="eastAsia" w:ascii="宋体" w:hAnsi="宋体" w:eastAsia="宋体" w:cs="宋体"/>
          <w:sz w:val="21"/>
          <w:szCs w:val="21"/>
        </w:rPr>
        <w:t>4.3.1机械密封系统中的仪表供货范围按照API682-2014的附录G执行。</w:t>
      </w:r>
    </w:p>
    <w:p w14:paraId="682739A6">
      <w:pPr>
        <w:spacing w:line="360" w:lineRule="auto"/>
        <w:rPr>
          <w:rFonts w:hint="eastAsia" w:ascii="宋体" w:hAnsi="宋体" w:eastAsia="宋体" w:cs="宋体"/>
          <w:sz w:val="21"/>
          <w:szCs w:val="21"/>
        </w:rPr>
      </w:pPr>
      <w:r>
        <w:rPr>
          <w:rFonts w:hint="eastAsia" w:ascii="宋体" w:hAnsi="宋体" w:eastAsia="宋体" w:cs="宋体"/>
          <w:sz w:val="21"/>
          <w:szCs w:val="21"/>
        </w:rPr>
        <w:t>4.3.2底座范围内的电线应防油、防热、防潮和抗磨损。</w:t>
      </w:r>
    </w:p>
    <w:p w14:paraId="70E5A639">
      <w:pPr>
        <w:spacing w:line="360" w:lineRule="auto"/>
        <w:rPr>
          <w:rFonts w:hint="eastAsia" w:ascii="宋体" w:hAnsi="宋体" w:eastAsia="宋体" w:cs="宋体"/>
          <w:sz w:val="21"/>
          <w:szCs w:val="21"/>
        </w:rPr>
      </w:pPr>
      <w:r>
        <w:rPr>
          <w:rFonts w:hint="eastAsia" w:ascii="宋体" w:hAnsi="宋体" w:eastAsia="宋体" w:cs="宋体"/>
          <w:sz w:val="21"/>
          <w:szCs w:val="21"/>
        </w:rPr>
        <w:t>4.4管路</w:t>
      </w:r>
    </w:p>
    <w:p w14:paraId="54D0ADBD">
      <w:pPr>
        <w:spacing w:line="360" w:lineRule="auto"/>
        <w:rPr>
          <w:rFonts w:hint="eastAsia" w:ascii="宋体" w:hAnsi="宋体" w:eastAsia="宋体" w:cs="宋体"/>
          <w:sz w:val="21"/>
          <w:szCs w:val="21"/>
        </w:rPr>
      </w:pPr>
      <w:r>
        <w:rPr>
          <w:rFonts w:hint="eastAsia" w:ascii="宋体" w:hAnsi="宋体" w:eastAsia="宋体" w:cs="宋体"/>
          <w:sz w:val="21"/>
          <w:szCs w:val="21"/>
        </w:rPr>
        <w:t>4.4.1辅助管路系统须全部装配和安装在公共底座上。如果受到运输等方面的限制，可选择的方案要通过买方批准。</w:t>
      </w:r>
    </w:p>
    <w:p w14:paraId="0DF993B3">
      <w:pPr>
        <w:spacing w:line="360" w:lineRule="auto"/>
        <w:rPr>
          <w:rFonts w:hint="eastAsia" w:ascii="宋体" w:hAnsi="宋体" w:eastAsia="宋体" w:cs="宋体"/>
          <w:sz w:val="21"/>
          <w:szCs w:val="21"/>
        </w:rPr>
      </w:pPr>
      <w:r>
        <w:rPr>
          <w:rFonts w:hint="eastAsia" w:ascii="宋体" w:hAnsi="宋体" w:eastAsia="宋体" w:cs="宋体"/>
          <w:sz w:val="21"/>
          <w:szCs w:val="21"/>
        </w:rPr>
        <w:t>4.4.2管路和附件的布置需考虑足够的间距、安全操作和维护的空间。管路应有恰当的支撑防止在操作和维护过程中由于振动引起的损坏。</w:t>
      </w:r>
    </w:p>
    <w:p w14:paraId="1CAF6321">
      <w:pPr>
        <w:spacing w:line="360" w:lineRule="auto"/>
        <w:rPr>
          <w:rFonts w:hint="eastAsia" w:ascii="宋体" w:hAnsi="宋体" w:eastAsia="宋体" w:cs="宋体"/>
          <w:sz w:val="21"/>
          <w:szCs w:val="21"/>
        </w:rPr>
      </w:pPr>
      <w:r>
        <w:rPr>
          <w:rFonts w:hint="eastAsia" w:ascii="宋体" w:hAnsi="宋体" w:eastAsia="宋体" w:cs="宋体"/>
          <w:sz w:val="21"/>
          <w:szCs w:val="21"/>
        </w:rPr>
        <w:t>4.4.3管路系统的进出口应汇成总管，交接边界设在泵入口的底座边缘。</w:t>
      </w:r>
    </w:p>
    <w:p w14:paraId="4D74022B">
      <w:pPr>
        <w:spacing w:line="360" w:lineRule="auto"/>
        <w:rPr>
          <w:rFonts w:hint="eastAsia" w:ascii="宋体" w:hAnsi="宋体" w:eastAsia="宋体" w:cs="宋体"/>
          <w:sz w:val="21"/>
          <w:szCs w:val="21"/>
        </w:rPr>
      </w:pPr>
      <w:r>
        <w:rPr>
          <w:rFonts w:hint="eastAsia" w:ascii="宋体" w:hAnsi="宋体" w:eastAsia="宋体" w:cs="宋体"/>
          <w:sz w:val="21"/>
          <w:szCs w:val="21"/>
        </w:rPr>
        <w:t>4.4.4每个冷却水出口管路须提供视镜。</w:t>
      </w:r>
    </w:p>
    <w:p w14:paraId="7240DF22">
      <w:pPr>
        <w:spacing w:line="360" w:lineRule="auto"/>
        <w:rPr>
          <w:rFonts w:hint="eastAsia" w:ascii="宋体" w:hAnsi="宋体" w:eastAsia="宋体" w:cs="宋体"/>
          <w:sz w:val="21"/>
          <w:szCs w:val="21"/>
        </w:rPr>
      </w:pPr>
      <w:r>
        <w:rPr>
          <w:rFonts w:hint="eastAsia" w:ascii="宋体" w:hAnsi="宋体" w:eastAsia="宋体" w:cs="宋体"/>
          <w:sz w:val="21"/>
          <w:szCs w:val="21"/>
        </w:rPr>
        <w:t>4.4.5除非另有规定，所有辅助管路的进出口总管均须配有阀门。</w:t>
      </w:r>
    </w:p>
    <w:p w14:paraId="0F3C1F2E">
      <w:pPr>
        <w:pStyle w:val="2"/>
        <w:keepNext/>
        <w:keepLines/>
        <w:pageBreakBefore w:val="0"/>
        <w:widowControl/>
        <w:kinsoku w:val="0"/>
        <w:wordWrap/>
        <w:overflowPunct/>
        <w:topLinePunct w:val="0"/>
        <w:autoSpaceDE w:val="0"/>
        <w:autoSpaceDN w:val="0"/>
        <w:bidi w:val="0"/>
        <w:adjustRightInd w:val="0"/>
        <w:snapToGrid w:val="0"/>
        <w:spacing w:before="0" w:after="0" w:line="360" w:lineRule="auto"/>
        <w:textAlignment w:val="baseline"/>
        <w:rPr>
          <w:rFonts w:hint="eastAsia" w:ascii="宋体" w:hAnsi="宋体" w:eastAsia="宋体" w:cs="宋体"/>
          <w:b/>
          <w:sz w:val="21"/>
          <w:szCs w:val="21"/>
        </w:rPr>
      </w:pPr>
      <w:bookmarkStart w:id="5" w:name="_Toc16360"/>
      <w:r>
        <w:rPr>
          <w:rFonts w:hint="eastAsia" w:ascii="宋体" w:hAnsi="宋体" w:eastAsia="宋体" w:cs="宋体"/>
          <w:b/>
          <w:sz w:val="21"/>
          <w:szCs w:val="21"/>
        </w:rPr>
        <w:t>5.涂漆涂色</w:t>
      </w:r>
      <w:bookmarkEnd w:id="5"/>
    </w:p>
    <w:p w14:paraId="66CD1683">
      <w:pPr>
        <w:spacing w:line="360" w:lineRule="auto"/>
        <w:rPr>
          <w:rFonts w:hint="eastAsia" w:ascii="宋体" w:hAnsi="宋体" w:eastAsia="宋体" w:cs="宋体"/>
          <w:sz w:val="21"/>
          <w:szCs w:val="21"/>
        </w:rPr>
      </w:pPr>
      <w:r>
        <w:rPr>
          <w:rFonts w:hint="eastAsia" w:ascii="宋体" w:hAnsi="宋体" w:eastAsia="宋体" w:cs="宋体"/>
          <w:sz w:val="21"/>
          <w:szCs w:val="21"/>
        </w:rPr>
        <w:t>5.1涂漆前应去除所有的灰尘、锈斑、油污及其它附着物。</w:t>
      </w:r>
    </w:p>
    <w:p w14:paraId="6CEAC8E0">
      <w:pPr>
        <w:spacing w:line="360" w:lineRule="auto"/>
        <w:rPr>
          <w:rFonts w:hint="eastAsia" w:ascii="宋体" w:hAnsi="宋体" w:eastAsia="宋体" w:cs="宋体"/>
          <w:sz w:val="21"/>
          <w:szCs w:val="21"/>
        </w:rPr>
      </w:pPr>
      <w:r>
        <w:rPr>
          <w:rFonts w:hint="eastAsia" w:ascii="宋体" w:hAnsi="宋体" w:eastAsia="宋体" w:cs="宋体"/>
          <w:sz w:val="21"/>
          <w:szCs w:val="21"/>
        </w:rPr>
        <w:t>5.2涂漆和防锈处理应适于现场的自然和运行条件，使设备在规定的使用环境下，长期运转而表面无锈蚀和剥落</w:t>
      </w:r>
    </w:p>
    <w:p w14:paraId="3C3F6792">
      <w:pPr>
        <w:spacing w:line="360" w:lineRule="auto"/>
        <w:rPr>
          <w:rFonts w:hint="eastAsia" w:ascii="宋体" w:hAnsi="宋体" w:eastAsia="宋体" w:cs="宋体"/>
          <w:sz w:val="21"/>
          <w:szCs w:val="21"/>
        </w:rPr>
      </w:pPr>
      <w:r>
        <w:rPr>
          <w:rFonts w:hint="eastAsia" w:ascii="宋体" w:hAnsi="宋体" w:eastAsia="宋体" w:cs="宋体"/>
          <w:sz w:val="21"/>
          <w:szCs w:val="21"/>
        </w:rPr>
        <w:t>5.3涂漆涂色规定要求执行买方规定“涂漆工程规定”D01版。</w:t>
      </w:r>
    </w:p>
    <w:p w14:paraId="7CEEED2D">
      <w:pPr>
        <w:spacing w:line="360" w:lineRule="auto"/>
        <w:rPr>
          <w:rFonts w:hint="eastAsia" w:ascii="宋体" w:hAnsi="宋体" w:eastAsia="宋体" w:cs="宋体"/>
          <w:sz w:val="21"/>
          <w:szCs w:val="21"/>
        </w:rPr>
      </w:pPr>
      <w:r>
        <w:rPr>
          <w:rFonts w:hint="eastAsia" w:ascii="宋体" w:hAnsi="宋体" w:eastAsia="宋体" w:cs="宋体"/>
          <w:sz w:val="21"/>
          <w:szCs w:val="21"/>
        </w:rPr>
        <w:t>5.4面漆颜色（来自涂漆工程规定）：</w:t>
      </w:r>
    </w:p>
    <w:tbl>
      <w:tblPr>
        <w:tblStyle w:val="5"/>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703"/>
        <w:gridCol w:w="1704"/>
        <w:gridCol w:w="2275"/>
        <w:gridCol w:w="1628"/>
        <w:gridCol w:w="1209"/>
      </w:tblGrid>
      <w:tr w14:paraId="3CC088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B094E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7"/>
                <w:snapToGrid w:val="0"/>
                <w:color w:val="000000"/>
                <w:lang w:val="en-US" w:eastAsia="zh-CN" w:bidi="ar"/>
              </w:rPr>
              <w:t>序号</w:t>
            </w:r>
          </w:p>
        </w:tc>
        <w:tc>
          <w:tcPr>
            <w:tcW w:w="10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37AC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7"/>
                <w:snapToGrid w:val="0"/>
                <w:color w:val="000000"/>
                <w:lang w:val="en-US" w:eastAsia="zh-CN" w:bidi="ar"/>
              </w:rPr>
              <w:t>设备类别</w:t>
            </w:r>
          </w:p>
        </w:tc>
        <w:tc>
          <w:tcPr>
            <w:tcW w:w="1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B55A6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7"/>
                <w:snapToGrid w:val="0"/>
                <w:color w:val="000000"/>
                <w:lang w:val="en-US" w:eastAsia="zh-CN" w:bidi="ar"/>
              </w:rPr>
              <w:t>表面色</w:t>
            </w:r>
          </w:p>
        </w:tc>
        <w:tc>
          <w:tcPr>
            <w:tcW w:w="9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1A6F5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7"/>
                <w:snapToGrid w:val="0"/>
                <w:color w:val="000000"/>
                <w:lang w:val="en-US" w:eastAsia="zh-CN" w:bidi="ar"/>
              </w:rPr>
              <w:t>标志文字色</w:t>
            </w:r>
          </w:p>
        </w:tc>
        <w:tc>
          <w:tcPr>
            <w:tcW w:w="7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3941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7"/>
                <w:snapToGrid w:val="0"/>
                <w:color w:val="000000"/>
                <w:lang w:val="en-US" w:eastAsia="zh-CN" w:bidi="ar"/>
              </w:rPr>
              <w:t>备注</w:t>
            </w:r>
          </w:p>
        </w:tc>
      </w:tr>
      <w:tr w14:paraId="5772A9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9C0C85">
            <w:pPr>
              <w:keepNext w:val="0"/>
              <w:keepLines w:val="0"/>
              <w:widowControl/>
              <w:suppressLineNumbers w:val="0"/>
              <w:jc w:val="center"/>
              <w:textAlignment w:val="center"/>
              <w:rPr>
                <w:rFonts w:ascii="Arial" w:hAnsi="Arial" w:eastAsia="宋体" w:cs="Arial"/>
                <w:i w:val="0"/>
                <w:iCs w:val="0"/>
                <w:color w:val="000000"/>
                <w:sz w:val="21"/>
                <w:szCs w:val="21"/>
                <w:u w:val="none"/>
              </w:rPr>
            </w:pPr>
            <w:r>
              <w:rPr>
                <w:rFonts w:hint="default" w:ascii="Arial" w:hAnsi="Arial" w:eastAsia="宋体" w:cs="Arial"/>
                <w:i w:val="0"/>
                <w:iCs w:val="0"/>
                <w:snapToGrid w:val="0"/>
                <w:color w:val="000000"/>
                <w:kern w:val="0"/>
                <w:sz w:val="21"/>
                <w:szCs w:val="21"/>
                <w:u w:val="none"/>
                <w:lang w:val="en-US" w:eastAsia="zh-CN" w:bidi="ar"/>
              </w:rPr>
              <w:t>1</w:t>
            </w:r>
          </w:p>
        </w:tc>
        <w:tc>
          <w:tcPr>
            <w:tcW w:w="10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3670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7"/>
                <w:snapToGrid w:val="0"/>
                <w:color w:val="000000"/>
                <w:lang w:val="en-US" w:eastAsia="zh-CN" w:bidi="ar"/>
              </w:rPr>
              <w:t>泵</w:t>
            </w:r>
          </w:p>
        </w:tc>
        <w:tc>
          <w:tcPr>
            <w:tcW w:w="1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7380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7"/>
                <w:snapToGrid w:val="0"/>
                <w:color w:val="000000"/>
                <w:lang w:val="en-US" w:eastAsia="zh-CN" w:bidi="ar"/>
              </w:rPr>
              <w:t>银</w:t>
            </w:r>
            <w:r>
              <w:rPr>
                <w:rStyle w:val="8"/>
                <w:rFonts w:eastAsia="宋体"/>
                <w:snapToGrid w:val="0"/>
                <w:color w:val="000000"/>
                <w:lang w:val="en-US" w:eastAsia="zh-CN" w:bidi="ar"/>
              </w:rPr>
              <w:t>RAL9006</w:t>
            </w:r>
          </w:p>
        </w:tc>
        <w:tc>
          <w:tcPr>
            <w:tcW w:w="9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8A5D4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7"/>
                <w:snapToGrid w:val="0"/>
                <w:color w:val="000000"/>
                <w:lang w:val="en-US" w:eastAsia="zh-CN" w:bidi="ar"/>
              </w:rPr>
              <w:t>大红</w:t>
            </w:r>
            <w:r>
              <w:rPr>
                <w:rStyle w:val="8"/>
                <w:rFonts w:eastAsia="宋体"/>
                <w:snapToGrid w:val="0"/>
                <w:color w:val="000000"/>
                <w:lang w:val="en-US" w:eastAsia="zh-CN" w:bidi="ar"/>
              </w:rPr>
              <w:t>RAL3001</w:t>
            </w:r>
          </w:p>
        </w:tc>
        <w:tc>
          <w:tcPr>
            <w:tcW w:w="7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453662">
            <w:pPr>
              <w:jc w:val="center"/>
              <w:rPr>
                <w:rFonts w:hint="default" w:ascii="Arial" w:hAnsi="Arial" w:eastAsia="宋体" w:cs="Arial"/>
                <w:i w:val="0"/>
                <w:iCs w:val="0"/>
                <w:color w:val="000000"/>
                <w:sz w:val="21"/>
                <w:szCs w:val="21"/>
                <w:u w:val="none"/>
              </w:rPr>
            </w:pPr>
          </w:p>
        </w:tc>
      </w:tr>
      <w:tr w14:paraId="421A6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7A08D">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snapToGrid w:val="0"/>
                <w:color w:val="000000"/>
                <w:kern w:val="0"/>
                <w:sz w:val="21"/>
                <w:szCs w:val="21"/>
                <w:u w:val="none"/>
                <w:lang w:val="en-US" w:eastAsia="zh-CN" w:bidi="ar"/>
              </w:rPr>
              <w:t>2</w:t>
            </w:r>
          </w:p>
        </w:tc>
        <w:tc>
          <w:tcPr>
            <w:tcW w:w="10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B527B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7"/>
                <w:snapToGrid w:val="0"/>
                <w:color w:val="000000"/>
                <w:lang w:val="en-US" w:eastAsia="zh-CN" w:bidi="ar"/>
              </w:rPr>
              <w:t>电机</w:t>
            </w:r>
          </w:p>
        </w:tc>
        <w:tc>
          <w:tcPr>
            <w:tcW w:w="1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83A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7"/>
                <w:snapToGrid w:val="0"/>
                <w:color w:val="000000"/>
                <w:lang w:val="en-US" w:eastAsia="zh-CN" w:bidi="ar"/>
              </w:rPr>
              <w:t>苹果绿</w:t>
            </w:r>
            <w:r>
              <w:rPr>
                <w:rStyle w:val="8"/>
                <w:rFonts w:eastAsia="宋体"/>
                <w:snapToGrid w:val="0"/>
                <w:color w:val="000000"/>
                <w:lang w:val="en-US" w:eastAsia="zh-CN" w:bidi="ar"/>
              </w:rPr>
              <w:t>RAL6032</w:t>
            </w:r>
          </w:p>
        </w:tc>
        <w:tc>
          <w:tcPr>
            <w:tcW w:w="9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A50A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7"/>
                <w:snapToGrid w:val="0"/>
                <w:color w:val="000000"/>
                <w:lang w:val="en-US" w:eastAsia="zh-CN" w:bidi="ar"/>
              </w:rPr>
              <w:t>大红</w:t>
            </w:r>
            <w:r>
              <w:rPr>
                <w:rStyle w:val="8"/>
                <w:rFonts w:eastAsia="宋体"/>
                <w:snapToGrid w:val="0"/>
                <w:color w:val="000000"/>
                <w:lang w:val="en-US" w:eastAsia="zh-CN" w:bidi="ar"/>
              </w:rPr>
              <w:t>RAL3001</w:t>
            </w:r>
          </w:p>
        </w:tc>
        <w:tc>
          <w:tcPr>
            <w:tcW w:w="7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AEB5DE">
            <w:pPr>
              <w:jc w:val="center"/>
              <w:rPr>
                <w:rFonts w:hint="default" w:ascii="Arial" w:hAnsi="Arial" w:eastAsia="宋体" w:cs="Arial"/>
                <w:i w:val="0"/>
                <w:iCs w:val="0"/>
                <w:color w:val="000000"/>
                <w:sz w:val="21"/>
                <w:szCs w:val="21"/>
                <w:u w:val="none"/>
              </w:rPr>
            </w:pPr>
          </w:p>
        </w:tc>
      </w:tr>
      <w:tr w14:paraId="442870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4D176">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snapToGrid w:val="0"/>
                <w:color w:val="000000"/>
                <w:kern w:val="0"/>
                <w:sz w:val="21"/>
                <w:szCs w:val="21"/>
                <w:u w:val="none"/>
                <w:lang w:val="en-US" w:eastAsia="zh-CN" w:bidi="ar"/>
              </w:rPr>
              <w:t>3</w:t>
            </w:r>
          </w:p>
        </w:tc>
        <w:tc>
          <w:tcPr>
            <w:tcW w:w="10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95BDE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7"/>
                <w:snapToGrid w:val="0"/>
                <w:color w:val="000000"/>
                <w:lang w:val="en-US" w:eastAsia="zh-CN" w:bidi="ar"/>
              </w:rPr>
              <w:t>联轴器防护罩</w:t>
            </w:r>
          </w:p>
        </w:tc>
        <w:tc>
          <w:tcPr>
            <w:tcW w:w="1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DFCF6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7"/>
                <w:snapToGrid w:val="0"/>
                <w:color w:val="000000"/>
                <w:lang w:val="en-US" w:eastAsia="zh-CN" w:bidi="ar"/>
              </w:rPr>
              <w:t>淡黄</w:t>
            </w:r>
            <w:r>
              <w:rPr>
                <w:rStyle w:val="8"/>
                <w:rFonts w:eastAsia="宋体"/>
                <w:snapToGrid w:val="0"/>
                <w:color w:val="000000"/>
                <w:lang w:val="en-US" w:eastAsia="zh-CN" w:bidi="ar"/>
              </w:rPr>
              <w:t>RAL1015</w:t>
            </w:r>
          </w:p>
        </w:tc>
        <w:tc>
          <w:tcPr>
            <w:tcW w:w="9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88776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7"/>
                <w:snapToGrid w:val="0"/>
                <w:color w:val="000000"/>
                <w:lang w:val="en-US" w:eastAsia="zh-CN" w:bidi="ar"/>
              </w:rPr>
              <w:t>-</w:t>
            </w:r>
          </w:p>
        </w:tc>
        <w:tc>
          <w:tcPr>
            <w:tcW w:w="7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73F14">
            <w:pPr>
              <w:jc w:val="center"/>
              <w:rPr>
                <w:rFonts w:hint="eastAsia" w:ascii="宋体" w:hAnsi="宋体" w:eastAsia="宋体" w:cs="宋体"/>
                <w:i w:val="0"/>
                <w:iCs w:val="0"/>
                <w:color w:val="000000"/>
                <w:sz w:val="22"/>
                <w:szCs w:val="22"/>
                <w:u w:val="none"/>
              </w:rPr>
            </w:pPr>
          </w:p>
        </w:tc>
      </w:tr>
    </w:tbl>
    <w:p w14:paraId="33106C96">
      <w:pPr>
        <w:pStyle w:val="2"/>
        <w:keepNext/>
        <w:keepLines/>
        <w:pageBreakBefore w:val="0"/>
        <w:widowControl/>
        <w:kinsoku w:val="0"/>
        <w:wordWrap/>
        <w:overflowPunct/>
        <w:topLinePunct w:val="0"/>
        <w:autoSpaceDE w:val="0"/>
        <w:autoSpaceDN w:val="0"/>
        <w:bidi w:val="0"/>
        <w:adjustRightInd w:val="0"/>
        <w:snapToGrid w:val="0"/>
        <w:spacing w:before="0" w:after="0" w:line="360" w:lineRule="auto"/>
        <w:textAlignment w:val="baseline"/>
        <w:rPr>
          <w:rFonts w:hint="eastAsia" w:ascii="宋体" w:hAnsi="宋体" w:eastAsia="宋体" w:cs="宋体"/>
          <w:b/>
          <w:sz w:val="21"/>
          <w:szCs w:val="21"/>
        </w:rPr>
      </w:pPr>
      <w:bookmarkStart w:id="6" w:name="_Toc25319"/>
      <w:r>
        <w:rPr>
          <w:rFonts w:hint="eastAsia" w:ascii="宋体" w:hAnsi="宋体" w:eastAsia="宋体" w:cs="宋体"/>
          <w:b/>
          <w:sz w:val="21"/>
          <w:szCs w:val="21"/>
        </w:rPr>
        <w:t>6.性能保证</w:t>
      </w:r>
      <w:bookmarkEnd w:id="6"/>
    </w:p>
    <w:p w14:paraId="1465A307">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在规定的操作流量和转速下，必须保证泵的扬程无负偏差，NPSHr无正偏差，轴功率不超过+4%偏差。</w:t>
      </w:r>
    </w:p>
    <w:p w14:paraId="6282AF7F">
      <w:pPr>
        <w:pStyle w:val="2"/>
        <w:keepNext/>
        <w:keepLines/>
        <w:pageBreakBefore w:val="0"/>
        <w:widowControl/>
        <w:kinsoku w:val="0"/>
        <w:wordWrap/>
        <w:overflowPunct/>
        <w:topLinePunct w:val="0"/>
        <w:autoSpaceDE w:val="0"/>
        <w:autoSpaceDN w:val="0"/>
        <w:bidi w:val="0"/>
        <w:adjustRightInd w:val="0"/>
        <w:snapToGrid w:val="0"/>
        <w:spacing w:before="0" w:after="0" w:line="360" w:lineRule="auto"/>
        <w:textAlignment w:val="baseline"/>
        <w:rPr>
          <w:rFonts w:hint="eastAsia" w:ascii="宋体" w:hAnsi="宋体" w:eastAsia="宋体" w:cs="宋体"/>
          <w:b/>
          <w:sz w:val="21"/>
          <w:szCs w:val="21"/>
        </w:rPr>
      </w:pPr>
      <w:bookmarkStart w:id="7" w:name="_Toc3587"/>
      <w:r>
        <w:rPr>
          <w:rFonts w:hint="eastAsia" w:ascii="宋体" w:hAnsi="宋体" w:eastAsia="宋体" w:cs="宋体"/>
          <w:b/>
          <w:sz w:val="21"/>
          <w:szCs w:val="21"/>
        </w:rPr>
        <w:t>7.检验和试验</w:t>
      </w:r>
      <w:bookmarkEnd w:id="7"/>
    </w:p>
    <w:p w14:paraId="19B77373">
      <w:pPr>
        <w:spacing w:line="360" w:lineRule="auto"/>
        <w:rPr>
          <w:rFonts w:hint="eastAsia" w:ascii="宋体" w:hAnsi="宋体" w:eastAsia="宋体" w:cs="宋体"/>
          <w:sz w:val="21"/>
          <w:szCs w:val="21"/>
        </w:rPr>
      </w:pPr>
      <w:r>
        <w:rPr>
          <w:rFonts w:hint="eastAsia" w:ascii="宋体" w:hAnsi="宋体" w:eastAsia="宋体" w:cs="宋体"/>
          <w:sz w:val="21"/>
          <w:szCs w:val="21"/>
        </w:rPr>
        <w:t>7.1总则</w:t>
      </w:r>
    </w:p>
    <w:p w14:paraId="238AE122">
      <w:pPr>
        <w:spacing w:line="360" w:lineRule="auto"/>
        <w:rPr>
          <w:rFonts w:hint="eastAsia" w:ascii="宋体" w:hAnsi="宋体" w:eastAsia="宋体" w:cs="宋体"/>
          <w:sz w:val="21"/>
          <w:szCs w:val="21"/>
        </w:rPr>
      </w:pPr>
      <w:r>
        <w:rPr>
          <w:rFonts w:hint="eastAsia" w:ascii="宋体" w:hAnsi="宋体" w:eastAsia="宋体" w:cs="宋体"/>
          <w:sz w:val="21"/>
          <w:szCs w:val="21"/>
        </w:rPr>
        <w:t>7.1.1在制造开始之前，涵盖所有检验和试验阶段的质量计划应提供给买方审查。每台设备应有质量计划，而且应至少包括订单中规定的检验和试验阶段。</w:t>
      </w:r>
    </w:p>
    <w:p w14:paraId="04B3C3EE">
      <w:pPr>
        <w:spacing w:line="360" w:lineRule="auto"/>
        <w:rPr>
          <w:rFonts w:hint="eastAsia" w:ascii="宋体" w:hAnsi="宋体" w:eastAsia="宋体" w:cs="宋体"/>
          <w:sz w:val="21"/>
          <w:szCs w:val="21"/>
        </w:rPr>
      </w:pPr>
      <w:r>
        <w:rPr>
          <w:rFonts w:hint="eastAsia" w:ascii="宋体" w:hAnsi="宋体" w:eastAsia="宋体" w:cs="宋体"/>
          <w:sz w:val="21"/>
          <w:szCs w:val="21"/>
        </w:rPr>
        <w:t>7.1.2卖方负责通知买方设备阶段性检验和试验的时间。</w:t>
      </w:r>
    </w:p>
    <w:p w14:paraId="7AE8CDF3">
      <w:pPr>
        <w:spacing w:line="360" w:lineRule="auto"/>
        <w:rPr>
          <w:rFonts w:hint="eastAsia" w:ascii="宋体" w:hAnsi="宋体" w:eastAsia="宋体" w:cs="宋体"/>
          <w:sz w:val="21"/>
          <w:szCs w:val="21"/>
        </w:rPr>
      </w:pPr>
      <w:r>
        <w:rPr>
          <w:rFonts w:hint="eastAsia" w:ascii="宋体" w:hAnsi="宋体" w:eastAsia="宋体" w:cs="宋体"/>
          <w:sz w:val="21"/>
          <w:szCs w:val="21"/>
        </w:rPr>
        <w:t>7.1.3买方的检验人员或代表的签收不能减低卖方责任。</w:t>
      </w:r>
    </w:p>
    <w:p w14:paraId="18D53D80">
      <w:pPr>
        <w:spacing w:line="360" w:lineRule="auto"/>
        <w:rPr>
          <w:rFonts w:hint="eastAsia" w:ascii="宋体" w:hAnsi="宋体" w:eastAsia="宋体" w:cs="宋体"/>
          <w:sz w:val="21"/>
          <w:szCs w:val="21"/>
        </w:rPr>
      </w:pPr>
      <w:r>
        <w:rPr>
          <w:rFonts w:hint="eastAsia" w:ascii="宋体" w:hAnsi="宋体" w:eastAsia="宋体" w:cs="宋体"/>
          <w:sz w:val="21"/>
          <w:szCs w:val="21"/>
        </w:rPr>
        <w:t>7.1.4在制造开始前，所有用于制造的材料必须与按相应规定进行的试验和分析得到的材料证明书一起提交买方进行确认。</w:t>
      </w:r>
    </w:p>
    <w:p w14:paraId="23730EA6">
      <w:pPr>
        <w:spacing w:line="360" w:lineRule="auto"/>
        <w:rPr>
          <w:rFonts w:hint="eastAsia" w:ascii="宋体" w:hAnsi="宋体" w:eastAsia="宋体" w:cs="宋体"/>
          <w:sz w:val="21"/>
          <w:szCs w:val="21"/>
        </w:rPr>
      </w:pPr>
      <w:r>
        <w:rPr>
          <w:rFonts w:hint="eastAsia" w:ascii="宋体" w:hAnsi="宋体" w:eastAsia="宋体" w:cs="宋体"/>
          <w:sz w:val="21"/>
          <w:szCs w:val="21"/>
        </w:rPr>
        <w:t>7.1.5当</w:t>
      </w:r>
      <w:r>
        <w:rPr>
          <w:rFonts w:hint="eastAsia" w:ascii="宋体" w:hAnsi="宋体" w:eastAsia="宋体" w:cs="宋体"/>
          <w:sz w:val="21"/>
          <w:szCs w:val="21"/>
          <w:lang w:eastAsia="zh-CN"/>
        </w:rPr>
        <w:t>福建省东南电化股份有限公司</w:t>
      </w:r>
      <w:r>
        <w:rPr>
          <w:rFonts w:hint="eastAsia" w:ascii="宋体" w:hAnsi="宋体" w:eastAsia="宋体" w:cs="宋体"/>
          <w:sz w:val="21"/>
          <w:szCs w:val="21"/>
        </w:rPr>
        <w:t>的检验员对材料的标识有怀疑或没有材料证明书时，应当在买方检验员在场的条件下对材料按相关的规定进行试验。所有这些试验的费用由卖方承担。</w:t>
      </w:r>
    </w:p>
    <w:p w14:paraId="13399323">
      <w:pPr>
        <w:spacing w:line="360" w:lineRule="auto"/>
        <w:rPr>
          <w:rFonts w:hint="eastAsia" w:ascii="宋体" w:hAnsi="宋体" w:eastAsia="宋体" w:cs="宋体"/>
          <w:sz w:val="21"/>
          <w:szCs w:val="21"/>
        </w:rPr>
      </w:pPr>
      <w:r>
        <w:rPr>
          <w:rFonts w:hint="eastAsia" w:ascii="宋体" w:hAnsi="宋体" w:eastAsia="宋体" w:cs="宋体"/>
          <w:sz w:val="21"/>
          <w:szCs w:val="21"/>
        </w:rPr>
        <w:t>7.1.6检验和试验之前，承压件不允许涂漆。</w:t>
      </w:r>
    </w:p>
    <w:p w14:paraId="0A8ECB25">
      <w:pPr>
        <w:spacing w:line="360" w:lineRule="auto"/>
        <w:rPr>
          <w:rFonts w:hint="eastAsia" w:ascii="宋体" w:hAnsi="宋体" w:eastAsia="宋体" w:cs="宋体"/>
          <w:sz w:val="21"/>
          <w:szCs w:val="21"/>
        </w:rPr>
      </w:pPr>
      <w:r>
        <w:rPr>
          <w:rFonts w:hint="eastAsia" w:ascii="宋体" w:hAnsi="宋体" w:eastAsia="宋体" w:cs="宋体"/>
          <w:sz w:val="21"/>
          <w:szCs w:val="21"/>
        </w:rPr>
        <w:t>7.2检验</w:t>
      </w:r>
    </w:p>
    <w:p w14:paraId="06200BE6">
      <w:pPr>
        <w:spacing w:line="360" w:lineRule="auto"/>
        <w:rPr>
          <w:rFonts w:hint="eastAsia" w:ascii="宋体" w:hAnsi="宋体" w:eastAsia="宋体" w:cs="宋体"/>
          <w:sz w:val="21"/>
          <w:szCs w:val="21"/>
        </w:rPr>
      </w:pPr>
      <w:r>
        <w:rPr>
          <w:rFonts w:hint="eastAsia" w:ascii="宋体" w:hAnsi="宋体" w:eastAsia="宋体" w:cs="宋体"/>
          <w:sz w:val="21"/>
          <w:szCs w:val="21"/>
        </w:rPr>
        <w:t>7.2.1卖方应至少进行如下检验，并在技术标书中给与说明。</w:t>
      </w:r>
    </w:p>
    <w:p w14:paraId="4077D74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a机组外观和空间的检查；</w:t>
      </w:r>
    </w:p>
    <w:p w14:paraId="4D48490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b机组尺寸与最终版图纸一致性的检查；</w:t>
      </w:r>
    </w:p>
    <w:p w14:paraId="043D863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c铭牌座内容的检查；</w:t>
      </w:r>
    </w:p>
    <w:p w14:paraId="28A67B4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d材料证书的检查；</w:t>
      </w:r>
    </w:p>
    <w:p w14:paraId="22A9E4C7">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e焊接件的检测报告；</w:t>
      </w:r>
    </w:p>
    <w:p w14:paraId="041FBC7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f热处理报告；</w:t>
      </w:r>
    </w:p>
    <w:p w14:paraId="43D5B90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g洁净度检查按照JB/T6913的规定；</w:t>
      </w:r>
    </w:p>
    <w:p w14:paraId="2407658A">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h表面处理及涂漆检查；</w:t>
      </w:r>
    </w:p>
    <w:p w14:paraId="60AB815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i包装及标记的检查按照GB/T13384规定；</w:t>
      </w:r>
    </w:p>
    <w:p w14:paraId="4A58C8D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j备品备件和特殊工具的检查；</w:t>
      </w:r>
    </w:p>
    <w:p w14:paraId="1629FBA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k分供货商的检验报告；</w:t>
      </w:r>
    </w:p>
    <w:p w14:paraId="41056149">
      <w:pPr>
        <w:spacing w:line="360" w:lineRule="auto"/>
        <w:rPr>
          <w:rFonts w:hint="eastAsia" w:ascii="宋体" w:hAnsi="宋体" w:eastAsia="宋体" w:cs="宋体"/>
          <w:sz w:val="21"/>
          <w:szCs w:val="21"/>
        </w:rPr>
      </w:pPr>
      <w:r>
        <w:rPr>
          <w:rFonts w:hint="eastAsia" w:ascii="宋体" w:hAnsi="宋体" w:eastAsia="宋体" w:cs="宋体"/>
          <w:sz w:val="21"/>
          <w:szCs w:val="21"/>
        </w:rPr>
        <w:t>7.3试验</w:t>
      </w:r>
    </w:p>
    <w:p w14:paraId="71465CC7">
      <w:pPr>
        <w:spacing w:line="360" w:lineRule="auto"/>
        <w:rPr>
          <w:rFonts w:hint="eastAsia" w:ascii="宋体" w:hAnsi="宋体" w:eastAsia="宋体" w:cs="宋体"/>
          <w:sz w:val="21"/>
          <w:szCs w:val="21"/>
        </w:rPr>
      </w:pPr>
      <w:r>
        <w:rPr>
          <w:rFonts w:hint="eastAsia" w:ascii="宋体" w:hAnsi="宋体" w:eastAsia="宋体" w:cs="宋体"/>
          <w:sz w:val="21"/>
          <w:szCs w:val="21"/>
        </w:rPr>
        <w:t>7.3.1卖方应至少逐台进行如下试验，并在技术标书中给与说明。对于见证试验，卖方应在试验前至少提前二十天通知买方，以便买方能及时参加。</w:t>
      </w:r>
    </w:p>
    <w:p w14:paraId="751A86F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a水压试验。</w:t>
      </w:r>
    </w:p>
    <w:p w14:paraId="3BAA20B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b机械运转试验（包括噪音和振动，见证，采用合同电机进行整机试验）。</w:t>
      </w:r>
    </w:p>
    <w:p w14:paraId="0F91167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c性能试验（见证，采用合同电机进行整机试验）。</w:t>
      </w:r>
    </w:p>
    <w:p w14:paraId="5E5FF4B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d必须汽蚀余量试验（如有，见证）。</w:t>
      </w:r>
    </w:p>
    <w:p w14:paraId="0EC623FA">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e分供货商的试验报告或见证试验。</w:t>
      </w:r>
    </w:p>
    <w:p w14:paraId="3B2B6E94">
      <w:pPr>
        <w:pStyle w:val="2"/>
        <w:keepNext/>
        <w:keepLines/>
        <w:pageBreakBefore w:val="0"/>
        <w:widowControl/>
        <w:kinsoku w:val="0"/>
        <w:wordWrap/>
        <w:overflowPunct/>
        <w:topLinePunct w:val="0"/>
        <w:autoSpaceDE w:val="0"/>
        <w:autoSpaceDN w:val="0"/>
        <w:bidi w:val="0"/>
        <w:adjustRightInd w:val="0"/>
        <w:snapToGrid w:val="0"/>
        <w:spacing w:before="0" w:after="0" w:line="360" w:lineRule="auto"/>
        <w:textAlignment w:val="baseline"/>
        <w:rPr>
          <w:rFonts w:hint="eastAsia" w:ascii="宋体" w:hAnsi="宋体" w:eastAsia="宋体" w:cs="宋体"/>
          <w:b/>
          <w:sz w:val="21"/>
          <w:szCs w:val="21"/>
        </w:rPr>
      </w:pPr>
      <w:bookmarkStart w:id="8" w:name="_Toc31825"/>
      <w:r>
        <w:rPr>
          <w:rFonts w:hint="eastAsia" w:ascii="宋体" w:hAnsi="宋体" w:eastAsia="宋体" w:cs="宋体"/>
          <w:b/>
          <w:sz w:val="21"/>
          <w:szCs w:val="21"/>
        </w:rPr>
        <w:t>8.运输的准备</w:t>
      </w:r>
      <w:bookmarkEnd w:id="8"/>
    </w:p>
    <w:p w14:paraId="4CD61482">
      <w:pPr>
        <w:spacing w:line="360" w:lineRule="auto"/>
        <w:rPr>
          <w:rFonts w:hint="eastAsia" w:ascii="宋体" w:hAnsi="宋体" w:eastAsia="宋体" w:cs="宋体"/>
          <w:sz w:val="21"/>
          <w:szCs w:val="21"/>
        </w:rPr>
      </w:pPr>
      <w:r>
        <w:rPr>
          <w:rFonts w:hint="eastAsia" w:ascii="宋体" w:hAnsi="宋体" w:eastAsia="宋体" w:cs="宋体"/>
          <w:sz w:val="21"/>
          <w:szCs w:val="21"/>
        </w:rPr>
        <w:t>8.1产品的包装应适合户外放置时间不少于六个月。</w:t>
      </w:r>
    </w:p>
    <w:p w14:paraId="7C133E50">
      <w:pPr>
        <w:spacing w:line="360" w:lineRule="auto"/>
        <w:rPr>
          <w:rFonts w:hint="eastAsia" w:ascii="宋体" w:hAnsi="宋体" w:eastAsia="宋体" w:cs="宋体"/>
          <w:sz w:val="21"/>
          <w:szCs w:val="21"/>
        </w:rPr>
      </w:pPr>
      <w:r>
        <w:rPr>
          <w:rFonts w:hint="eastAsia" w:ascii="宋体" w:hAnsi="宋体" w:eastAsia="宋体" w:cs="宋体"/>
          <w:sz w:val="21"/>
          <w:szCs w:val="21"/>
        </w:rPr>
        <w:t>8.2设备的内部应清洗干净。</w:t>
      </w:r>
    </w:p>
    <w:p w14:paraId="5E4B9D84">
      <w:pPr>
        <w:spacing w:line="360" w:lineRule="auto"/>
        <w:rPr>
          <w:rFonts w:hint="eastAsia" w:ascii="宋体" w:hAnsi="宋体" w:eastAsia="宋体" w:cs="宋体"/>
          <w:sz w:val="21"/>
          <w:szCs w:val="21"/>
        </w:rPr>
      </w:pPr>
      <w:r>
        <w:rPr>
          <w:rFonts w:hint="eastAsia" w:ascii="宋体" w:hAnsi="宋体" w:eastAsia="宋体" w:cs="宋体"/>
          <w:sz w:val="21"/>
          <w:szCs w:val="21"/>
        </w:rPr>
        <w:t>8.3法兰口应设置至少5mm厚的金属盲板，并带有弹性垫片和至少4个螺栓。</w:t>
      </w:r>
    </w:p>
    <w:p w14:paraId="632A7519">
      <w:pPr>
        <w:spacing w:line="360" w:lineRule="auto"/>
        <w:rPr>
          <w:rFonts w:hint="eastAsia" w:ascii="宋体" w:hAnsi="宋体" w:eastAsia="宋体" w:cs="宋体"/>
          <w:sz w:val="21"/>
          <w:szCs w:val="21"/>
        </w:rPr>
      </w:pPr>
      <w:r>
        <w:rPr>
          <w:rFonts w:hint="eastAsia" w:ascii="宋体" w:hAnsi="宋体" w:eastAsia="宋体" w:cs="宋体"/>
          <w:sz w:val="21"/>
          <w:szCs w:val="21"/>
        </w:rPr>
        <w:t>8.4分开运输的辅件应标记清楚以便重新组装。</w:t>
      </w:r>
    </w:p>
    <w:p w14:paraId="74123368">
      <w:pPr>
        <w:spacing w:line="360" w:lineRule="auto"/>
        <w:rPr>
          <w:rFonts w:hint="eastAsia" w:ascii="宋体" w:hAnsi="宋体" w:eastAsia="宋体" w:cs="宋体"/>
          <w:sz w:val="21"/>
          <w:szCs w:val="21"/>
        </w:rPr>
      </w:pPr>
      <w:r>
        <w:rPr>
          <w:rFonts w:hint="eastAsia" w:ascii="宋体" w:hAnsi="宋体" w:eastAsia="宋体" w:cs="宋体"/>
          <w:sz w:val="21"/>
          <w:szCs w:val="21"/>
        </w:rPr>
        <w:t>8.5竣工文件应装入防水的文件袋内。</w:t>
      </w:r>
    </w:p>
    <w:p w14:paraId="7B16B2A8">
      <w:pPr>
        <w:spacing w:line="360" w:lineRule="auto"/>
        <w:rPr>
          <w:rFonts w:hint="eastAsia" w:ascii="宋体" w:hAnsi="宋体" w:eastAsia="宋体" w:cs="宋体"/>
          <w:sz w:val="21"/>
          <w:szCs w:val="21"/>
        </w:rPr>
      </w:pPr>
      <w:r>
        <w:rPr>
          <w:rFonts w:hint="eastAsia" w:ascii="宋体" w:hAnsi="宋体" w:eastAsia="宋体" w:cs="宋体"/>
          <w:sz w:val="21"/>
          <w:szCs w:val="21"/>
        </w:rPr>
        <w:t>8.6起吊点和重心应清楚地标在设备包装箱上。</w:t>
      </w:r>
    </w:p>
    <w:p w14:paraId="08987638">
      <w:pPr>
        <w:pStyle w:val="2"/>
        <w:keepNext/>
        <w:keepLines/>
        <w:pageBreakBefore w:val="0"/>
        <w:widowControl/>
        <w:kinsoku w:val="0"/>
        <w:wordWrap/>
        <w:overflowPunct/>
        <w:topLinePunct w:val="0"/>
        <w:autoSpaceDE w:val="0"/>
        <w:autoSpaceDN w:val="0"/>
        <w:bidi w:val="0"/>
        <w:adjustRightInd w:val="0"/>
        <w:snapToGrid w:val="0"/>
        <w:spacing w:before="0" w:after="0" w:line="360" w:lineRule="auto"/>
        <w:textAlignment w:val="baseline"/>
        <w:rPr>
          <w:rFonts w:hint="eastAsia" w:ascii="宋体" w:hAnsi="宋体" w:eastAsia="宋体" w:cs="宋体"/>
          <w:b/>
          <w:sz w:val="21"/>
          <w:szCs w:val="21"/>
        </w:rPr>
      </w:pPr>
      <w:bookmarkStart w:id="9" w:name="_Toc7861"/>
      <w:r>
        <w:rPr>
          <w:rFonts w:hint="eastAsia" w:ascii="宋体" w:hAnsi="宋体" w:eastAsia="宋体" w:cs="宋体"/>
          <w:b/>
          <w:sz w:val="21"/>
          <w:szCs w:val="21"/>
        </w:rPr>
        <w:t>9.本项目特殊要求</w:t>
      </w:r>
      <w:bookmarkEnd w:id="9"/>
    </w:p>
    <w:p w14:paraId="07D48CAA">
      <w:pPr>
        <w:spacing w:line="360" w:lineRule="auto"/>
        <w:rPr>
          <w:rFonts w:hint="eastAsia" w:ascii="宋体" w:hAnsi="宋体" w:eastAsia="宋体" w:cs="宋体"/>
          <w:sz w:val="21"/>
          <w:szCs w:val="21"/>
        </w:rPr>
      </w:pPr>
      <w:r>
        <w:rPr>
          <w:rFonts w:hint="eastAsia" w:ascii="宋体" w:hAnsi="宋体" w:eastAsia="宋体" w:cs="宋体"/>
          <w:sz w:val="21"/>
          <w:szCs w:val="21"/>
        </w:rPr>
        <w:t>9.1设备本体、电机、涂漆等均需满足盐雾腐蚀要求。</w:t>
      </w:r>
    </w:p>
    <w:p w14:paraId="38AC37A5">
      <w:pPr>
        <w:spacing w:line="360" w:lineRule="auto"/>
        <w:rPr>
          <w:rFonts w:hint="eastAsia" w:ascii="宋体" w:hAnsi="宋体" w:eastAsia="宋体" w:cs="宋体"/>
          <w:sz w:val="21"/>
          <w:szCs w:val="21"/>
        </w:rPr>
      </w:pPr>
      <w:r>
        <w:rPr>
          <w:rFonts w:hint="eastAsia" w:ascii="宋体" w:hAnsi="宋体" w:eastAsia="宋体" w:cs="宋体"/>
          <w:sz w:val="21"/>
          <w:szCs w:val="21"/>
        </w:rPr>
        <w:t>9.2分供方要求：</w:t>
      </w:r>
    </w:p>
    <w:tbl>
      <w:tblPr>
        <w:tblStyle w:val="5"/>
        <w:tblW w:w="5164"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850"/>
        <w:gridCol w:w="6277"/>
        <w:gridCol w:w="675"/>
      </w:tblGrid>
      <w:tr w14:paraId="6B37D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2100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种类</w:t>
            </w:r>
          </w:p>
        </w:tc>
        <w:tc>
          <w:tcPr>
            <w:tcW w:w="35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1201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分供方</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A44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备注</w:t>
            </w:r>
          </w:p>
        </w:tc>
      </w:tr>
      <w:tr w14:paraId="770E1B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5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9A32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电机</w:t>
            </w:r>
          </w:p>
        </w:tc>
        <w:tc>
          <w:tcPr>
            <w:tcW w:w="35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11DD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卧龙电气南阳防爆集团股份有限公司</w:t>
            </w:r>
          </w:p>
        </w:tc>
        <w:tc>
          <w:tcPr>
            <w:tcW w:w="38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FAC38">
            <w:pPr>
              <w:jc w:val="center"/>
              <w:rPr>
                <w:rFonts w:hint="eastAsia" w:ascii="Arial" w:hAnsi="Arial" w:eastAsia="宋体" w:cs="Arial"/>
                <w:i w:val="0"/>
                <w:iCs w:val="0"/>
                <w:color w:val="000000"/>
                <w:sz w:val="21"/>
                <w:szCs w:val="21"/>
                <w:u w:val="none"/>
              </w:rPr>
            </w:pPr>
          </w:p>
        </w:tc>
      </w:tr>
      <w:tr w14:paraId="138F63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5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FA298">
            <w:pPr>
              <w:jc w:val="center"/>
              <w:rPr>
                <w:rFonts w:hint="eastAsia" w:ascii="宋体" w:hAnsi="宋体" w:eastAsia="宋体" w:cs="宋体"/>
                <w:i w:val="0"/>
                <w:iCs w:val="0"/>
                <w:color w:val="000000"/>
                <w:sz w:val="21"/>
                <w:szCs w:val="21"/>
                <w:u w:val="none"/>
              </w:rPr>
            </w:pPr>
          </w:p>
        </w:tc>
        <w:tc>
          <w:tcPr>
            <w:tcW w:w="35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76FD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哈电集团佳木斯电机股份有限公司江苏锡安达防爆股份有限公司</w:t>
            </w:r>
          </w:p>
        </w:tc>
        <w:tc>
          <w:tcPr>
            <w:tcW w:w="38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831A9">
            <w:pPr>
              <w:jc w:val="center"/>
              <w:rPr>
                <w:rFonts w:hint="default" w:ascii="Arial" w:hAnsi="Arial" w:eastAsia="宋体" w:cs="Arial"/>
                <w:i w:val="0"/>
                <w:iCs w:val="0"/>
                <w:color w:val="000000"/>
                <w:sz w:val="21"/>
                <w:szCs w:val="21"/>
                <w:u w:val="none"/>
              </w:rPr>
            </w:pPr>
          </w:p>
        </w:tc>
      </w:tr>
      <w:tr w14:paraId="6A2794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5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EDF12">
            <w:pPr>
              <w:jc w:val="center"/>
              <w:rPr>
                <w:rFonts w:hint="eastAsia" w:ascii="宋体" w:hAnsi="宋体" w:eastAsia="宋体" w:cs="宋体"/>
                <w:i w:val="0"/>
                <w:iCs w:val="0"/>
                <w:color w:val="000000"/>
                <w:sz w:val="21"/>
                <w:szCs w:val="21"/>
                <w:u w:val="none"/>
              </w:rPr>
            </w:pPr>
          </w:p>
        </w:tc>
        <w:tc>
          <w:tcPr>
            <w:tcW w:w="35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DDF4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江苏大中电机股份有限公司</w:t>
            </w:r>
          </w:p>
        </w:tc>
        <w:tc>
          <w:tcPr>
            <w:tcW w:w="38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28D8F">
            <w:pPr>
              <w:jc w:val="center"/>
              <w:rPr>
                <w:rFonts w:hint="default" w:ascii="Arial" w:hAnsi="Arial" w:eastAsia="宋体" w:cs="Arial"/>
                <w:i w:val="0"/>
                <w:iCs w:val="0"/>
                <w:color w:val="000000"/>
                <w:sz w:val="21"/>
                <w:szCs w:val="21"/>
                <w:u w:val="none"/>
              </w:rPr>
            </w:pPr>
          </w:p>
        </w:tc>
      </w:tr>
      <w:tr w14:paraId="7DBCB7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5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869A3">
            <w:pPr>
              <w:jc w:val="center"/>
              <w:rPr>
                <w:rFonts w:hint="eastAsia" w:ascii="宋体" w:hAnsi="宋体" w:eastAsia="宋体" w:cs="宋体"/>
                <w:i w:val="0"/>
                <w:iCs w:val="0"/>
                <w:color w:val="000000"/>
                <w:sz w:val="21"/>
                <w:szCs w:val="21"/>
                <w:u w:val="none"/>
              </w:rPr>
            </w:pPr>
          </w:p>
        </w:tc>
        <w:tc>
          <w:tcPr>
            <w:tcW w:w="35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97CA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安徽皖南电机股份有限公司</w:t>
            </w:r>
          </w:p>
        </w:tc>
        <w:tc>
          <w:tcPr>
            <w:tcW w:w="38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3B10E">
            <w:pPr>
              <w:jc w:val="center"/>
              <w:rPr>
                <w:rFonts w:hint="default" w:ascii="Arial" w:hAnsi="Arial" w:eastAsia="宋体" w:cs="Arial"/>
                <w:i w:val="0"/>
                <w:iCs w:val="0"/>
                <w:color w:val="000000"/>
                <w:sz w:val="21"/>
                <w:szCs w:val="21"/>
                <w:u w:val="none"/>
              </w:rPr>
            </w:pPr>
          </w:p>
        </w:tc>
      </w:tr>
      <w:tr w14:paraId="1EFDE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E31C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轴承（电机</w:t>
            </w:r>
            <w:r>
              <w:rPr>
                <w:rStyle w:val="9"/>
                <w:rFonts w:eastAsia="宋体"/>
                <w:snapToGrid w:val="0"/>
                <w:color w:val="000000"/>
                <w:lang w:val="en-US" w:eastAsia="zh-CN" w:bidi="ar"/>
              </w:rPr>
              <w:t>&amp;</w:t>
            </w:r>
            <w:r>
              <w:rPr>
                <w:rFonts w:hint="eastAsia" w:ascii="宋体" w:hAnsi="宋体" w:eastAsia="宋体" w:cs="宋体"/>
                <w:i w:val="0"/>
                <w:iCs w:val="0"/>
                <w:snapToGrid w:val="0"/>
                <w:color w:val="000000"/>
                <w:kern w:val="0"/>
                <w:sz w:val="21"/>
                <w:szCs w:val="21"/>
                <w:u w:val="none"/>
                <w:lang w:val="en-US" w:eastAsia="zh-CN" w:bidi="ar"/>
              </w:rPr>
              <w:t>泵）</w:t>
            </w:r>
          </w:p>
        </w:tc>
        <w:tc>
          <w:tcPr>
            <w:tcW w:w="35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1AA5A">
            <w:pPr>
              <w:keepNext w:val="0"/>
              <w:keepLines w:val="0"/>
              <w:widowControl/>
              <w:suppressLineNumbers w:val="0"/>
              <w:jc w:val="center"/>
              <w:textAlignment w:val="center"/>
              <w:rPr>
                <w:rFonts w:hint="default" w:ascii="Arial" w:hAnsi="Arial" w:eastAsia="宋体" w:cs="Arial"/>
                <w:i w:val="0"/>
                <w:iCs w:val="0"/>
                <w:color w:val="000000"/>
                <w:sz w:val="21"/>
                <w:szCs w:val="21"/>
                <w:u w:val="none"/>
              </w:rPr>
            </w:pPr>
            <w:r>
              <w:rPr>
                <w:rFonts w:hint="default" w:ascii="Arial" w:hAnsi="Arial" w:eastAsia="宋体" w:cs="Arial"/>
                <w:i w:val="0"/>
                <w:iCs w:val="0"/>
                <w:snapToGrid w:val="0"/>
                <w:color w:val="000000"/>
                <w:kern w:val="0"/>
                <w:sz w:val="21"/>
                <w:szCs w:val="21"/>
                <w:u w:val="none"/>
                <w:lang w:val="en-US" w:eastAsia="zh-CN" w:bidi="ar"/>
              </w:rPr>
              <w:t>SKFNSKFAG</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BFC42">
            <w:pPr>
              <w:jc w:val="center"/>
              <w:rPr>
                <w:rFonts w:hint="eastAsia" w:ascii="宋体" w:hAnsi="宋体" w:eastAsia="宋体" w:cs="宋体"/>
                <w:i w:val="0"/>
                <w:iCs w:val="0"/>
                <w:color w:val="000000"/>
                <w:sz w:val="22"/>
                <w:szCs w:val="22"/>
                <w:u w:val="none"/>
              </w:rPr>
            </w:pPr>
          </w:p>
        </w:tc>
      </w:tr>
      <w:tr w14:paraId="312F1C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5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0F0A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机械密封</w:t>
            </w:r>
          </w:p>
        </w:tc>
        <w:tc>
          <w:tcPr>
            <w:tcW w:w="35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F86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丹东克隆集团有限责任公司</w:t>
            </w:r>
          </w:p>
        </w:tc>
        <w:tc>
          <w:tcPr>
            <w:tcW w:w="38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8707B">
            <w:pPr>
              <w:jc w:val="center"/>
              <w:rPr>
                <w:rFonts w:hint="default" w:ascii="Arial" w:hAnsi="Arial" w:eastAsia="宋体" w:cs="Arial"/>
                <w:i w:val="0"/>
                <w:iCs w:val="0"/>
                <w:color w:val="000000"/>
                <w:sz w:val="21"/>
                <w:szCs w:val="21"/>
                <w:u w:val="none"/>
              </w:rPr>
            </w:pPr>
          </w:p>
        </w:tc>
      </w:tr>
      <w:tr w14:paraId="7EA96B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5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5BDC7">
            <w:pPr>
              <w:jc w:val="center"/>
              <w:rPr>
                <w:rFonts w:hint="eastAsia" w:ascii="宋体" w:hAnsi="宋体" w:eastAsia="宋体" w:cs="宋体"/>
                <w:i w:val="0"/>
                <w:iCs w:val="0"/>
                <w:color w:val="000000"/>
                <w:sz w:val="21"/>
                <w:szCs w:val="21"/>
                <w:u w:val="none"/>
              </w:rPr>
            </w:pPr>
          </w:p>
        </w:tc>
        <w:tc>
          <w:tcPr>
            <w:tcW w:w="35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22A5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中密控股股份有限公司</w:t>
            </w:r>
          </w:p>
        </w:tc>
        <w:tc>
          <w:tcPr>
            <w:tcW w:w="38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91E37">
            <w:pPr>
              <w:jc w:val="center"/>
              <w:rPr>
                <w:rFonts w:hint="default" w:ascii="Arial" w:hAnsi="Arial" w:eastAsia="宋体" w:cs="Arial"/>
                <w:i w:val="0"/>
                <w:iCs w:val="0"/>
                <w:color w:val="000000"/>
                <w:sz w:val="21"/>
                <w:szCs w:val="21"/>
                <w:u w:val="none"/>
              </w:rPr>
            </w:pPr>
          </w:p>
        </w:tc>
      </w:tr>
      <w:tr w14:paraId="4FFA9A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ACC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联轴器</w:t>
            </w:r>
          </w:p>
        </w:tc>
        <w:tc>
          <w:tcPr>
            <w:tcW w:w="35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E75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无锡创明传动工程有限公司</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0AEA5">
            <w:pPr>
              <w:jc w:val="center"/>
              <w:rPr>
                <w:rFonts w:hint="default" w:ascii="Arial" w:hAnsi="Arial" w:eastAsia="宋体" w:cs="Arial"/>
                <w:i w:val="0"/>
                <w:iCs w:val="0"/>
                <w:color w:val="000000"/>
                <w:sz w:val="21"/>
                <w:szCs w:val="21"/>
                <w:u w:val="none"/>
              </w:rPr>
            </w:pPr>
          </w:p>
        </w:tc>
      </w:tr>
      <w:tr w14:paraId="123071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5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EED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压力表</w:t>
            </w:r>
          </w:p>
        </w:tc>
        <w:tc>
          <w:tcPr>
            <w:tcW w:w="35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4006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北京布莱迪仪器仪表有限责任公司</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0CE0F">
            <w:pPr>
              <w:jc w:val="center"/>
              <w:rPr>
                <w:rFonts w:hint="default" w:ascii="Arial" w:hAnsi="Arial" w:eastAsia="宋体" w:cs="Arial"/>
                <w:i w:val="0"/>
                <w:iCs w:val="0"/>
                <w:color w:val="000000"/>
                <w:sz w:val="21"/>
                <w:szCs w:val="21"/>
                <w:u w:val="none"/>
              </w:rPr>
            </w:pPr>
          </w:p>
        </w:tc>
      </w:tr>
      <w:tr w14:paraId="4E279B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5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E9F35">
            <w:pPr>
              <w:jc w:val="center"/>
              <w:rPr>
                <w:rFonts w:hint="eastAsia" w:ascii="宋体" w:hAnsi="宋体" w:eastAsia="宋体" w:cs="宋体"/>
                <w:i w:val="0"/>
                <w:iCs w:val="0"/>
                <w:color w:val="000000"/>
                <w:sz w:val="21"/>
                <w:szCs w:val="21"/>
                <w:u w:val="none"/>
              </w:rPr>
            </w:pPr>
          </w:p>
        </w:tc>
        <w:tc>
          <w:tcPr>
            <w:tcW w:w="35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8481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安徽天康（集团）股份有限公司</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97E34">
            <w:pPr>
              <w:jc w:val="center"/>
              <w:rPr>
                <w:rFonts w:hint="default" w:ascii="Arial" w:hAnsi="Arial" w:eastAsia="宋体" w:cs="Arial"/>
                <w:i w:val="0"/>
                <w:iCs w:val="0"/>
                <w:color w:val="000000"/>
                <w:sz w:val="21"/>
                <w:szCs w:val="21"/>
                <w:u w:val="none"/>
              </w:rPr>
            </w:pPr>
          </w:p>
        </w:tc>
      </w:tr>
      <w:tr w14:paraId="21227D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5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96AEC">
            <w:pPr>
              <w:jc w:val="center"/>
              <w:rPr>
                <w:rFonts w:hint="eastAsia" w:ascii="宋体" w:hAnsi="宋体" w:eastAsia="宋体" w:cs="宋体"/>
                <w:i w:val="0"/>
                <w:iCs w:val="0"/>
                <w:color w:val="000000"/>
                <w:sz w:val="21"/>
                <w:szCs w:val="21"/>
                <w:u w:val="none"/>
              </w:rPr>
            </w:pPr>
          </w:p>
        </w:tc>
        <w:tc>
          <w:tcPr>
            <w:tcW w:w="35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F08B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安徽埃克森科技集团有限公司</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AC433">
            <w:pPr>
              <w:jc w:val="center"/>
              <w:rPr>
                <w:rFonts w:hint="default" w:ascii="Arial" w:hAnsi="Arial" w:eastAsia="宋体" w:cs="Arial"/>
                <w:i w:val="0"/>
                <w:iCs w:val="0"/>
                <w:color w:val="000000"/>
                <w:sz w:val="21"/>
                <w:szCs w:val="21"/>
                <w:u w:val="none"/>
              </w:rPr>
            </w:pPr>
          </w:p>
        </w:tc>
      </w:tr>
      <w:tr w14:paraId="049B26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5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90C5B">
            <w:pPr>
              <w:jc w:val="center"/>
              <w:rPr>
                <w:rFonts w:hint="eastAsia" w:ascii="宋体" w:hAnsi="宋体" w:eastAsia="宋体" w:cs="宋体"/>
                <w:i w:val="0"/>
                <w:iCs w:val="0"/>
                <w:color w:val="000000"/>
                <w:sz w:val="21"/>
                <w:szCs w:val="21"/>
                <w:u w:val="none"/>
              </w:rPr>
            </w:pPr>
          </w:p>
        </w:tc>
        <w:tc>
          <w:tcPr>
            <w:tcW w:w="35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16DE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涌纬集团股份有限公司</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73154">
            <w:pPr>
              <w:jc w:val="center"/>
              <w:rPr>
                <w:rFonts w:hint="default" w:ascii="Arial" w:hAnsi="Arial" w:eastAsia="宋体" w:cs="Arial"/>
                <w:i w:val="0"/>
                <w:iCs w:val="0"/>
                <w:color w:val="000000"/>
                <w:sz w:val="21"/>
                <w:szCs w:val="21"/>
                <w:u w:val="none"/>
              </w:rPr>
            </w:pPr>
          </w:p>
        </w:tc>
      </w:tr>
      <w:tr w14:paraId="75D308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5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3B324">
            <w:pPr>
              <w:jc w:val="center"/>
              <w:rPr>
                <w:rFonts w:hint="eastAsia" w:ascii="宋体" w:hAnsi="宋体" w:eastAsia="宋体" w:cs="宋体"/>
                <w:i w:val="0"/>
                <w:iCs w:val="0"/>
                <w:color w:val="000000"/>
                <w:sz w:val="21"/>
                <w:szCs w:val="21"/>
                <w:u w:val="none"/>
              </w:rPr>
            </w:pPr>
          </w:p>
        </w:tc>
        <w:tc>
          <w:tcPr>
            <w:tcW w:w="35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A8C8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江苏麦克自动化仪表有限公司</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477E5">
            <w:pPr>
              <w:jc w:val="center"/>
              <w:rPr>
                <w:rFonts w:hint="default" w:ascii="Arial" w:hAnsi="Arial" w:eastAsia="宋体" w:cs="Arial"/>
                <w:i w:val="0"/>
                <w:iCs w:val="0"/>
                <w:color w:val="000000"/>
                <w:sz w:val="21"/>
                <w:szCs w:val="21"/>
                <w:u w:val="none"/>
              </w:rPr>
            </w:pPr>
          </w:p>
        </w:tc>
      </w:tr>
      <w:tr w14:paraId="5D9DFF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5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DCFBF">
            <w:pPr>
              <w:jc w:val="center"/>
              <w:rPr>
                <w:rFonts w:hint="eastAsia" w:ascii="宋体" w:hAnsi="宋体" w:eastAsia="宋体" w:cs="宋体"/>
                <w:i w:val="0"/>
                <w:iCs w:val="0"/>
                <w:color w:val="000000"/>
                <w:sz w:val="21"/>
                <w:szCs w:val="21"/>
                <w:u w:val="none"/>
              </w:rPr>
            </w:pPr>
          </w:p>
        </w:tc>
        <w:tc>
          <w:tcPr>
            <w:tcW w:w="35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E199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西安大华</w:t>
            </w:r>
          </w:p>
        </w:tc>
        <w:tc>
          <w:tcPr>
            <w:tcW w:w="3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AB647">
            <w:pPr>
              <w:jc w:val="center"/>
              <w:rPr>
                <w:rFonts w:hint="eastAsia" w:ascii="宋体" w:hAnsi="宋体" w:eastAsia="宋体" w:cs="宋体"/>
                <w:i w:val="0"/>
                <w:iCs w:val="0"/>
                <w:color w:val="000000"/>
                <w:sz w:val="22"/>
                <w:szCs w:val="22"/>
                <w:u w:val="none"/>
              </w:rPr>
            </w:pPr>
          </w:p>
        </w:tc>
      </w:tr>
    </w:tbl>
    <w:p w14:paraId="0D6C3186">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备注：分供方品牌需满足此分供方或者相当品牌，当供货商所报分供方不在此名单中，需在技术报价中说明。</w:t>
      </w:r>
    </w:p>
    <w:p w14:paraId="75D69AE0">
      <w:pPr>
        <w:pStyle w:val="2"/>
        <w:keepNext/>
        <w:keepLines/>
        <w:pageBreakBefore w:val="0"/>
        <w:widowControl/>
        <w:kinsoku w:val="0"/>
        <w:wordWrap/>
        <w:overflowPunct/>
        <w:topLinePunct w:val="0"/>
        <w:autoSpaceDE w:val="0"/>
        <w:autoSpaceDN w:val="0"/>
        <w:bidi w:val="0"/>
        <w:adjustRightInd w:val="0"/>
        <w:snapToGrid w:val="0"/>
        <w:spacing w:before="0" w:after="0" w:line="360" w:lineRule="auto"/>
        <w:textAlignment w:val="baseline"/>
        <w:rPr>
          <w:rFonts w:hint="eastAsia" w:ascii="宋体" w:hAnsi="宋体" w:eastAsia="宋体" w:cs="宋体"/>
          <w:b/>
          <w:sz w:val="21"/>
          <w:szCs w:val="21"/>
        </w:rPr>
      </w:pPr>
      <w:bookmarkStart w:id="10" w:name="_Toc31508"/>
      <w:r>
        <w:rPr>
          <w:rFonts w:hint="eastAsia" w:ascii="宋体" w:hAnsi="宋体" w:eastAsia="宋体" w:cs="宋体"/>
          <w:b/>
          <w:sz w:val="21"/>
          <w:szCs w:val="21"/>
        </w:rPr>
        <w:t>10.现场基础数据和公用工程</w:t>
      </w:r>
      <w:bookmarkEnd w:id="10"/>
    </w:p>
    <w:p w14:paraId="0D28B6C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sz w:val="21"/>
          <w:szCs w:val="21"/>
        </w:rPr>
      </w:pPr>
      <w:r>
        <w:rPr>
          <w:rFonts w:hint="eastAsia" w:ascii="宋体" w:hAnsi="宋体" w:eastAsia="宋体" w:cs="宋体"/>
          <w:sz w:val="21"/>
          <w:szCs w:val="21"/>
        </w:rPr>
        <w:t>详见附件《设计基础》。</w:t>
      </w:r>
    </w:p>
    <w:p w14:paraId="1E385034">
      <w:pPr>
        <w:spacing w:line="360" w:lineRule="auto"/>
        <w:rPr>
          <w:rFonts w:hint="eastAsia" w:ascii="宋体" w:hAnsi="宋体" w:eastAsia="宋体" w:cs="宋体"/>
          <w:sz w:val="21"/>
          <w:szCs w:val="21"/>
        </w:rPr>
      </w:pPr>
    </w:p>
    <w:p w14:paraId="69973B83">
      <w:pPr>
        <w:spacing w:line="360" w:lineRule="auto"/>
        <w:rPr>
          <w:rFonts w:hint="eastAsia" w:ascii="宋体" w:hAnsi="宋体" w:eastAsia="宋体" w:cs="宋体"/>
          <w:sz w:val="21"/>
          <w:szCs w:val="21"/>
        </w:rPr>
      </w:pPr>
    </w:p>
    <w:p w14:paraId="0655595D">
      <w:pPr>
        <w:spacing w:line="360" w:lineRule="auto"/>
        <w:rPr>
          <w:rFonts w:hint="eastAsia" w:ascii="宋体" w:hAnsi="宋体" w:eastAsia="宋体" w:cs="宋体"/>
          <w:sz w:val="21"/>
          <w:szCs w:val="21"/>
        </w:rPr>
      </w:pPr>
    </w:p>
    <w:sectPr>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AC5567">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38AC5E">
                          <w:pPr>
                            <w:pStyle w:val="3"/>
                          </w:pPr>
                          <w:r>
                            <w:t xml:space="preserve">第 </w:t>
                          </w:r>
                          <w:r>
                            <w:fldChar w:fldCharType="begin"/>
                          </w:r>
                          <w:r>
                            <w:instrText xml:space="preserve"> PAGE  \* MERGEFORMAT </w:instrText>
                          </w:r>
                          <w:r>
                            <w:fldChar w:fldCharType="separate"/>
                          </w:r>
                          <w:r>
                            <w:t>3</w:t>
                          </w:r>
                          <w:r>
                            <w:fldChar w:fldCharType="end"/>
                          </w:r>
                          <w:r>
                            <w:t xml:space="preserve"> 页 共 </w:t>
                          </w:r>
                          <w:r>
                            <w:rPr>
                              <w:rFonts w:hint="eastAsia" w:eastAsia="宋体"/>
                              <w:lang w:val="en-US" w:eastAsia="zh-CN"/>
                            </w:rPr>
                            <w:t>8</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438AC5E">
                    <w:pPr>
                      <w:pStyle w:val="3"/>
                    </w:pPr>
                    <w:r>
                      <w:t xml:space="preserve">第 </w:t>
                    </w:r>
                    <w:r>
                      <w:fldChar w:fldCharType="begin"/>
                    </w:r>
                    <w:r>
                      <w:instrText xml:space="preserve"> PAGE  \* MERGEFORMAT </w:instrText>
                    </w:r>
                    <w:r>
                      <w:fldChar w:fldCharType="separate"/>
                    </w:r>
                    <w:r>
                      <w:t>3</w:t>
                    </w:r>
                    <w:r>
                      <w:fldChar w:fldCharType="end"/>
                    </w:r>
                    <w:r>
                      <w:t xml:space="preserve"> 页 共 </w:t>
                    </w:r>
                    <w:r>
                      <w:rPr>
                        <w:rFonts w:hint="eastAsia" w:eastAsia="宋体"/>
                        <w:lang w:val="en-US" w:eastAsia="zh-CN"/>
                      </w:rPr>
                      <w:t>8</w:t>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M0NjBkZTdjNGE3YmMyZDE3M2I2OTQyYjIyMmRiNGIifQ=="/>
  </w:docVars>
  <w:rsids>
    <w:rsidRoot w:val="00000000"/>
    <w:rsid w:val="04057FAF"/>
    <w:rsid w:val="05681A7F"/>
    <w:rsid w:val="08206641"/>
    <w:rsid w:val="094B5940"/>
    <w:rsid w:val="0DB241E0"/>
    <w:rsid w:val="0E585745"/>
    <w:rsid w:val="16C507A3"/>
    <w:rsid w:val="18962766"/>
    <w:rsid w:val="1B3A50F8"/>
    <w:rsid w:val="1BFE76BE"/>
    <w:rsid w:val="1EF36406"/>
    <w:rsid w:val="25200C11"/>
    <w:rsid w:val="28812CD5"/>
    <w:rsid w:val="2B5C1608"/>
    <w:rsid w:val="2B65243A"/>
    <w:rsid w:val="2B6F6CBE"/>
    <w:rsid w:val="34C06933"/>
    <w:rsid w:val="359978AF"/>
    <w:rsid w:val="38EE1CC0"/>
    <w:rsid w:val="3B96663F"/>
    <w:rsid w:val="42872140"/>
    <w:rsid w:val="4F0040A4"/>
    <w:rsid w:val="4F3F2E1E"/>
    <w:rsid w:val="53B13BBE"/>
    <w:rsid w:val="59A55AC8"/>
    <w:rsid w:val="5F473629"/>
    <w:rsid w:val="67C65A33"/>
    <w:rsid w:val="6B625A72"/>
    <w:rsid w:val="71771B4C"/>
    <w:rsid w:val="72E70F53"/>
    <w:rsid w:val="75267B11"/>
    <w:rsid w:val="7B332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7">
    <w:name w:val="font11"/>
    <w:basedOn w:val="6"/>
    <w:qFormat/>
    <w:uiPriority w:val="0"/>
    <w:rPr>
      <w:rFonts w:hint="eastAsia" w:ascii="宋体" w:hAnsi="宋体" w:eastAsia="宋体" w:cs="宋体"/>
      <w:color w:val="000000"/>
      <w:sz w:val="21"/>
      <w:szCs w:val="21"/>
      <w:u w:val="none"/>
    </w:rPr>
  </w:style>
  <w:style w:type="character" w:customStyle="1" w:styleId="8">
    <w:name w:val="font21"/>
    <w:basedOn w:val="6"/>
    <w:uiPriority w:val="0"/>
    <w:rPr>
      <w:rFonts w:hint="default" w:ascii="Arial" w:hAnsi="Arial" w:cs="Arial"/>
      <w:color w:val="000000"/>
      <w:sz w:val="21"/>
      <w:szCs w:val="21"/>
      <w:u w:val="none"/>
    </w:rPr>
  </w:style>
  <w:style w:type="character" w:customStyle="1" w:styleId="9">
    <w:name w:val="font31"/>
    <w:basedOn w:val="6"/>
    <w:qFormat/>
    <w:uiPriority w:val="0"/>
    <w:rPr>
      <w:rFonts w:hint="default" w:ascii="Times New Roman" w:hAnsi="Times New Roman" w:cs="Times New Roman"/>
      <w:b/>
      <w:bCs/>
      <w:color w:val="000000"/>
      <w:sz w:val="21"/>
      <w:szCs w:val="21"/>
      <w:u w:val="none"/>
    </w:rPr>
  </w:style>
  <w:style w:type="paragraph" w:customStyle="1" w:styleId="10">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4980</Words>
  <Characters>5824</Characters>
  <Lines>0</Lines>
  <Paragraphs>0</Paragraphs>
  <TotalTime>19</TotalTime>
  <ScaleCrop>false</ScaleCrop>
  <LinksUpToDate>false</LinksUpToDate>
  <CharactersWithSpaces>5860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2023-11-30T02:42:00Z</dcterms:created>
  <dc:creator>慢半拍</dc:creator>
  <cp:lastModifiedBy>微风下……想</cp:lastModifiedBy>
  <dcterms:modified xsi:type="dcterms:W3CDTF">2024-11-01T00:54:50Z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3B11B420EBC845F5A6D68FF01A4F8F11_13</vt:lpwstr>
  </property>
</Properties>
</file>