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438FD">
      <w:pPr>
        <w:rPr>
          <w:b/>
          <w:sz w:val="52"/>
          <w:szCs w:val="52"/>
        </w:rPr>
      </w:pPr>
    </w:p>
    <w:p w14:paraId="496718CF"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福建省东南电化</w:t>
      </w:r>
      <w:r>
        <w:rPr>
          <w:rFonts w:hint="eastAsia"/>
          <w:b/>
          <w:sz w:val="52"/>
          <w:szCs w:val="52"/>
          <w:lang w:val="en-US" w:eastAsia="zh-CN"/>
        </w:rPr>
        <w:t>股份有限</w:t>
      </w:r>
      <w:r>
        <w:rPr>
          <w:rFonts w:hint="eastAsia"/>
          <w:b/>
          <w:sz w:val="52"/>
          <w:szCs w:val="52"/>
        </w:rPr>
        <w:t>公司</w:t>
      </w:r>
    </w:p>
    <w:p w14:paraId="38B6BB6C">
      <w:pPr>
        <w:jc w:val="center"/>
        <w:rPr>
          <w:rFonts w:ascii="宋体" w:hAnsi="宋体"/>
          <w:b/>
          <w:bCs/>
          <w:spacing w:val="30"/>
          <w:sz w:val="52"/>
          <w:szCs w:val="52"/>
        </w:rPr>
      </w:pPr>
      <w:r>
        <w:rPr>
          <w:rFonts w:hint="eastAsia"/>
          <w:b/>
          <w:sz w:val="52"/>
          <w:szCs w:val="52"/>
          <w:lang w:val="en-US" w:eastAsia="zh-CN"/>
        </w:rPr>
        <w:t>煤炭、润滑油分析劳务外包</w:t>
      </w:r>
      <w:r>
        <w:rPr>
          <w:rFonts w:hint="eastAsia"/>
          <w:b/>
          <w:sz w:val="52"/>
          <w:szCs w:val="52"/>
        </w:rPr>
        <w:t>项目</w:t>
      </w:r>
    </w:p>
    <w:p w14:paraId="69FE19D7">
      <w:pPr>
        <w:rPr>
          <w:rFonts w:ascii="宋体" w:hAnsi="宋体"/>
          <w:b/>
          <w:bCs/>
          <w:spacing w:val="30"/>
          <w:sz w:val="52"/>
          <w:szCs w:val="52"/>
        </w:rPr>
      </w:pPr>
    </w:p>
    <w:p w14:paraId="29D0CE8C">
      <w:pPr>
        <w:rPr>
          <w:rFonts w:ascii="宋体" w:hAnsi="宋体"/>
          <w:b/>
          <w:bCs/>
          <w:spacing w:val="30"/>
          <w:sz w:val="52"/>
          <w:szCs w:val="52"/>
        </w:rPr>
      </w:pPr>
    </w:p>
    <w:p w14:paraId="25ABA904">
      <w:pPr>
        <w:rPr>
          <w:rFonts w:ascii="宋体" w:hAnsi="宋体"/>
          <w:b/>
          <w:bCs/>
          <w:spacing w:val="30"/>
          <w:sz w:val="52"/>
          <w:szCs w:val="52"/>
        </w:rPr>
      </w:pPr>
    </w:p>
    <w:p w14:paraId="792BA2BE">
      <w:pPr>
        <w:jc w:val="center"/>
        <w:rPr>
          <w:rFonts w:ascii="宋体" w:hAnsi="宋体"/>
          <w:b/>
          <w:bCs/>
          <w:spacing w:val="30"/>
          <w:sz w:val="52"/>
          <w:szCs w:val="52"/>
        </w:rPr>
      </w:pPr>
      <w:r>
        <w:rPr>
          <w:rFonts w:hint="eastAsia" w:ascii="宋体" w:hAnsi="宋体"/>
          <w:b/>
          <w:bCs/>
          <w:spacing w:val="30"/>
          <w:sz w:val="52"/>
          <w:szCs w:val="52"/>
        </w:rPr>
        <w:t>技</w:t>
      </w:r>
    </w:p>
    <w:p w14:paraId="305CCF22">
      <w:pPr>
        <w:jc w:val="center"/>
        <w:rPr>
          <w:rFonts w:ascii="宋体" w:hAnsi="宋体"/>
          <w:b/>
          <w:bCs/>
          <w:spacing w:val="30"/>
          <w:sz w:val="52"/>
          <w:szCs w:val="52"/>
        </w:rPr>
      </w:pPr>
      <w:r>
        <w:rPr>
          <w:rFonts w:hint="eastAsia" w:ascii="宋体" w:hAnsi="宋体"/>
          <w:b/>
          <w:bCs/>
          <w:spacing w:val="30"/>
          <w:sz w:val="52"/>
          <w:szCs w:val="52"/>
        </w:rPr>
        <w:t>术</w:t>
      </w:r>
    </w:p>
    <w:p w14:paraId="7E420226">
      <w:pPr>
        <w:jc w:val="center"/>
        <w:rPr>
          <w:rFonts w:ascii="宋体" w:hAnsi="宋体"/>
          <w:b/>
          <w:bCs/>
          <w:spacing w:val="30"/>
          <w:sz w:val="52"/>
          <w:szCs w:val="52"/>
        </w:rPr>
      </w:pPr>
      <w:r>
        <w:rPr>
          <w:rFonts w:hint="eastAsia" w:ascii="宋体" w:hAnsi="宋体"/>
          <w:b/>
          <w:bCs/>
          <w:spacing w:val="30"/>
          <w:sz w:val="52"/>
          <w:szCs w:val="52"/>
        </w:rPr>
        <w:t>规</w:t>
      </w:r>
    </w:p>
    <w:p w14:paraId="593C4652">
      <w:pPr>
        <w:jc w:val="center"/>
        <w:rPr>
          <w:rFonts w:ascii="宋体" w:hAnsi="宋体"/>
          <w:b/>
          <w:bCs/>
          <w:spacing w:val="30"/>
          <w:sz w:val="52"/>
          <w:szCs w:val="52"/>
        </w:rPr>
      </w:pPr>
      <w:r>
        <w:rPr>
          <w:rFonts w:hint="eastAsia" w:ascii="宋体" w:hAnsi="宋体"/>
          <w:b/>
          <w:bCs/>
          <w:spacing w:val="30"/>
          <w:sz w:val="52"/>
          <w:szCs w:val="52"/>
        </w:rPr>
        <w:t>格</w:t>
      </w:r>
    </w:p>
    <w:p w14:paraId="018120C5">
      <w:pPr>
        <w:jc w:val="center"/>
        <w:rPr>
          <w:rFonts w:ascii="宋体" w:hAnsi="宋体" w:cs="宋体"/>
          <w:b/>
          <w:sz w:val="52"/>
          <w:szCs w:val="52"/>
        </w:rPr>
      </w:pPr>
      <w:r>
        <w:rPr>
          <w:rFonts w:hint="eastAsia" w:ascii="宋体" w:hAnsi="宋体"/>
          <w:b/>
          <w:bCs/>
          <w:spacing w:val="30"/>
          <w:sz w:val="52"/>
          <w:szCs w:val="52"/>
        </w:rPr>
        <w:t>书</w:t>
      </w:r>
    </w:p>
    <w:p w14:paraId="50FF8ED0">
      <w:pPr>
        <w:tabs>
          <w:tab w:val="left" w:pos="6105"/>
        </w:tabs>
        <w:ind w:firstLine="351" w:firstLineChars="97"/>
        <w:rPr>
          <w:rFonts w:ascii="宋体" w:hAnsi="宋体" w:cs="宋体"/>
          <w:b/>
          <w:sz w:val="36"/>
          <w:szCs w:val="36"/>
        </w:rPr>
      </w:pPr>
    </w:p>
    <w:p w14:paraId="1C84C89F">
      <w:pPr>
        <w:tabs>
          <w:tab w:val="left" w:pos="6105"/>
        </w:tabs>
        <w:ind w:firstLine="351" w:firstLineChars="97"/>
        <w:rPr>
          <w:rFonts w:ascii="宋体" w:hAnsi="宋体" w:cs="宋体"/>
          <w:b/>
          <w:sz w:val="36"/>
          <w:szCs w:val="36"/>
        </w:rPr>
      </w:pPr>
    </w:p>
    <w:p w14:paraId="4AE76C23">
      <w:pPr>
        <w:tabs>
          <w:tab w:val="left" w:pos="6105"/>
        </w:tabs>
        <w:ind w:firstLine="351" w:firstLineChars="97"/>
        <w:rPr>
          <w:rFonts w:ascii="宋体" w:hAnsi="宋体" w:cs="宋体"/>
          <w:b/>
          <w:sz w:val="36"/>
          <w:szCs w:val="36"/>
        </w:rPr>
      </w:pPr>
    </w:p>
    <w:p w14:paraId="304FBD32">
      <w:pPr>
        <w:tabs>
          <w:tab w:val="left" w:pos="6105"/>
        </w:tabs>
        <w:rPr>
          <w:rFonts w:ascii="宋体" w:hAnsi="宋体" w:cs="宋体"/>
          <w:b/>
          <w:sz w:val="36"/>
          <w:szCs w:val="36"/>
        </w:rPr>
      </w:pPr>
    </w:p>
    <w:p w14:paraId="40641D23">
      <w:pPr>
        <w:tabs>
          <w:tab w:val="left" w:pos="6105"/>
        </w:tabs>
        <w:ind w:firstLine="351" w:firstLineChars="97"/>
        <w:rPr>
          <w:rFonts w:ascii="宋体" w:hAnsi="宋体" w:cs="宋体"/>
          <w:b/>
          <w:sz w:val="36"/>
          <w:szCs w:val="36"/>
        </w:rPr>
      </w:pPr>
    </w:p>
    <w:p w14:paraId="07E661F2">
      <w:pPr>
        <w:tabs>
          <w:tab w:val="left" w:pos="6105"/>
        </w:tabs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福建省东南电化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股份有限</w:t>
      </w:r>
      <w:r>
        <w:rPr>
          <w:rFonts w:hint="eastAsia" w:ascii="宋体" w:hAnsi="宋体" w:cs="宋体"/>
          <w:b/>
          <w:sz w:val="44"/>
          <w:szCs w:val="44"/>
        </w:rPr>
        <w:t>公司</w:t>
      </w:r>
    </w:p>
    <w:p w14:paraId="49E4387A">
      <w:pPr>
        <w:tabs>
          <w:tab w:val="left" w:pos="6105"/>
        </w:tabs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44"/>
          <w:szCs w:val="44"/>
        </w:rPr>
        <w:t>202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5</w:t>
      </w:r>
      <w:r>
        <w:rPr>
          <w:rFonts w:hint="eastAsia" w:ascii="宋体" w:hAnsi="宋体" w:cs="宋体"/>
          <w:b/>
          <w:sz w:val="44"/>
          <w:szCs w:val="44"/>
        </w:rPr>
        <w:t>年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03</w:t>
      </w:r>
      <w:r>
        <w:rPr>
          <w:rFonts w:hint="eastAsia" w:ascii="宋体" w:hAnsi="宋体" w:cs="宋体"/>
          <w:b/>
          <w:sz w:val="44"/>
          <w:szCs w:val="44"/>
        </w:rPr>
        <w:t>月</w:t>
      </w:r>
    </w:p>
    <w:p w14:paraId="175E75B8">
      <w:pPr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一</w:t>
      </w:r>
      <w:r>
        <w:rPr>
          <w:rFonts w:hint="eastAsia" w:ascii="宋体" w:hAnsi="宋体" w:cs="宋体"/>
          <w:b/>
          <w:sz w:val="28"/>
          <w:szCs w:val="28"/>
        </w:rPr>
        <w:t>、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投标方</w:t>
      </w:r>
      <w:r>
        <w:rPr>
          <w:rFonts w:hint="eastAsia" w:ascii="宋体" w:hAnsi="宋体" w:cs="宋体"/>
          <w:b/>
          <w:sz w:val="28"/>
          <w:szCs w:val="28"/>
        </w:rPr>
        <w:t>资格要求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：</w:t>
      </w:r>
    </w:p>
    <w:p w14:paraId="22B90762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cs="宋体"/>
          <w:sz w:val="28"/>
          <w:szCs w:val="28"/>
        </w:rPr>
        <w:t>本次招标要求投标方必须具有以下条件：</w:t>
      </w:r>
    </w:p>
    <w:p w14:paraId="7045E2AB">
      <w:pPr>
        <w:numPr>
          <w:ilvl w:val="0"/>
          <w:numId w:val="0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</w:rPr>
        <w:t>投标方应在中华人民共和国注册并具有独立法人资格，同时须完全响应招标文件且具有有效履行合同的能力；</w:t>
      </w:r>
    </w:p>
    <w:p w14:paraId="4B92AE59">
      <w:pPr>
        <w:numPr>
          <w:ilvl w:val="0"/>
          <w:numId w:val="0"/>
        </w:num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（2）投标方应有劳务派遣资质；</w:t>
      </w:r>
      <w:r>
        <w:rPr>
          <w:rFonts w:hint="eastAsia" w:ascii="宋体" w:hAnsi="宋体" w:cs="宋体"/>
          <w:sz w:val="28"/>
          <w:szCs w:val="28"/>
        </w:rPr>
        <w:t xml:space="preserve"> </w:t>
      </w:r>
    </w:p>
    <w:p w14:paraId="66D57541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</w:rPr>
        <w:t>投标方需提供近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年内承揽的至少1份有关石化行业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检验服务合同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 w14:paraId="351143CB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</w:rPr>
        <w:t>本项目采用资格后审方式对参选人进行资格审查，经资格审查合格的参选人才可能有资格成为中选候选人；</w:t>
      </w:r>
    </w:p>
    <w:p w14:paraId="71AF4C25"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</w:rPr>
        <w:t>本项目不接受联合体投标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6E321B29">
      <w:pPr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2、本次招标要求分析人员必须具备以下条件：</w:t>
      </w:r>
    </w:p>
    <w:p w14:paraId="0075EA3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right="0"/>
        <w:jc w:val="both"/>
        <w:rPr>
          <w:rFonts w:hint="eastAsia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cs="宋体"/>
          <w:kern w:val="2"/>
          <w:sz w:val="28"/>
          <w:szCs w:val="28"/>
          <w:lang w:val="en-US" w:eastAsia="zh-CN" w:bidi="ar-SA"/>
        </w:rPr>
        <w:t>中专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及以上学历，必须为</w:t>
      </w:r>
      <w:r>
        <w:rPr>
          <w:rFonts w:hint="eastAsia" w:cs="宋体"/>
          <w:kern w:val="2"/>
          <w:sz w:val="28"/>
          <w:szCs w:val="28"/>
          <w:lang w:val="en-US" w:eastAsia="zh-CN" w:bidi="ar-SA"/>
        </w:rPr>
        <w:t>检验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相关专业</w:t>
      </w:r>
      <w:r>
        <w:rPr>
          <w:rFonts w:hint="eastAsia" w:cs="宋体"/>
          <w:kern w:val="2"/>
          <w:sz w:val="28"/>
          <w:szCs w:val="28"/>
          <w:lang w:val="en-US" w:eastAsia="zh-CN" w:bidi="ar-SA"/>
        </w:rPr>
        <w:t>；</w:t>
      </w:r>
    </w:p>
    <w:p w14:paraId="6F0E0BF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right="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（2）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3年以上工作经验</w:t>
      </w:r>
      <w:r>
        <w:rPr>
          <w:rFonts w:hint="eastAsia" w:cs="宋体"/>
          <w:kern w:val="2"/>
          <w:sz w:val="28"/>
          <w:szCs w:val="28"/>
          <w:lang w:val="en-US" w:eastAsia="zh-CN" w:bidi="ar-SA"/>
        </w:rPr>
        <w:t>；</w:t>
      </w:r>
    </w:p>
    <w:p w14:paraId="20A69DF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right="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具有一定的现场安全事故处置能力，了解相关安全生产知识、安全法律法规知识，熟悉基本的办公室软件操作技能</w:t>
      </w:r>
      <w:r>
        <w:rPr>
          <w:rFonts w:hint="eastAsia" w:cs="宋体"/>
          <w:kern w:val="2"/>
          <w:sz w:val="28"/>
          <w:szCs w:val="28"/>
          <w:lang w:val="en-US" w:eastAsia="zh-CN" w:bidi="ar-SA"/>
        </w:rPr>
        <w:t>；</w:t>
      </w:r>
    </w:p>
    <w:p w14:paraId="3F4B93C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right="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年龄不超过</w:t>
      </w:r>
      <w:r>
        <w:rPr>
          <w:rFonts w:hint="eastAsia" w:cs="宋体"/>
          <w:kern w:val="2"/>
          <w:sz w:val="28"/>
          <w:szCs w:val="28"/>
          <w:lang w:val="en-US" w:eastAsia="zh-CN" w:bidi="ar-SA"/>
        </w:rPr>
        <w:t>40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周岁。</w:t>
      </w:r>
    </w:p>
    <w:p w14:paraId="0993A095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二</w:t>
      </w:r>
      <w:r>
        <w:rPr>
          <w:rFonts w:hint="eastAsia" w:ascii="宋体" w:hAnsi="宋体" w:cs="宋体"/>
          <w:b/>
          <w:sz w:val="28"/>
          <w:szCs w:val="28"/>
        </w:rPr>
        <w:t>、服务范围</w:t>
      </w:r>
      <w:r>
        <w:rPr>
          <w:rFonts w:hint="eastAsia" w:ascii="宋体" w:hAnsi="宋体" w:cs="宋体"/>
          <w:sz w:val="28"/>
          <w:szCs w:val="28"/>
        </w:rPr>
        <w:t>：</w:t>
      </w:r>
    </w:p>
    <w:p w14:paraId="2BE02CAA">
      <w:pPr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1、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人数为两人，上班时间：上午8:30-12:00，下午13:30-17:30，每日两人均需在岗（特殊情况或节假日至少需要一人在岗）。入炉煤、煤灰、煤渣要求当日出具报告，入厂煤按批次分析，要求两个工作日内出具报告，润滑油每月底前出具报告，具体分析外包检验服务清单见附件一；</w:t>
      </w:r>
    </w:p>
    <w:p w14:paraId="76C85605">
      <w:pPr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2、此项目两个人，按单人单月进行报价，两人均纳入甲方实验室统一管理，入职两个月内必须取得甲方内部上岗证；入职三个月内必须取得煤质分析证；</w:t>
      </w:r>
    </w:p>
    <w:p w14:paraId="346DC254"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检验</w:t>
      </w:r>
      <w:r>
        <w:rPr>
          <w:rFonts w:hint="eastAsia" w:ascii="宋体" w:hAnsi="宋体" w:cs="宋体"/>
          <w:sz w:val="28"/>
          <w:szCs w:val="28"/>
        </w:rPr>
        <w:t>费用为全费用综合单价，除非另有约定，甲方不再承担其他费用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2A50E701"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b/>
          <w:bCs/>
          <w:sz w:val="28"/>
          <w:szCs w:val="28"/>
        </w:rPr>
        <w:t>、结算及付款方式：</w:t>
      </w:r>
    </w:p>
    <w:p w14:paraId="43BEE730">
      <w:pPr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1、结算：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每月考核，一个季度结算一次，</w:t>
      </w:r>
      <w:r>
        <w:rPr>
          <w:rFonts w:hint="eastAsia" w:ascii="宋体" w:hAnsi="宋体" w:cs="宋体"/>
          <w:color w:val="000000" w:themeColor="text1"/>
          <w:sz w:val="28"/>
          <w:szCs w:val="28"/>
        </w:rPr>
        <w:t>投标方在开具相应发票前，业务需经过东南电化业务部门审核确认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</w:rPr>
        <w:t>；</w:t>
      </w:r>
    </w:p>
    <w:p w14:paraId="4F4785A6"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color w:val="333333"/>
          <w:sz w:val="28"/>
          <w:szCs w:val="28"/>
        </w:rPr>
        <w:t>2、</w:t>
      </w:r>
      <w:r>
        <w:rPr>
          <w:rFonts w:hint="eastAsia" w:ascii="宋体" w:hAnsi="宋体" w:cs="宋体"/>
          <w:bCs/>
          <w:sz w:val="28"/>
          <w:szCs w:val="28"/>
        </w:rPr>
        <w:t>东南电化公司在收到投标方开具的相应发票后，30个工作日内以现款转账方式支付相应的款项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 w14:paraId="4E31A458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、税费：发票为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sz w:val="28"/>
          <w:szCs w:val="28"/>
        </w:rPr>
        <w:t>%增值税发票。</w:t>
      </w:r>
    </w:p>
    <w:p w14:paraId="1F43A042">
      <w:pPr>
        <w:rPr>
          <w:rFonts w:hint="eastAsia" w:ascii="宋体" w:hAnsi="宋体" w:eastAsia="宋体" w:cs="宋体"/>
          <w:sz w:val="32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4"/>
          <w:lang w:val="en-US" w:eastAsia="zh-CN"/>
        </w:rPr>
        <w:t>附件一</w:t>
      </w:r>
    </w:p>
    <w:p w14:paraId="6550FCFA">
      <w:pPr>
        <w:jc w:val="center"/>
        <w:rPr>
          <w:rFonts w:hint="eastAsia" w:ascii="宋体" w:hAnsi="宋体" w:cs="宋体"/>
          <w:sz w:val="32"/>
          <w:szCs w:val="24"/>
          <w:lang w:val="en-US" w:eastAsia="zh-CN"/>
        </w:rPr>
      </w:pPr>
      <w:r>
        <w:rPr>
          <w:rFonts w:hint="eastAsia" w:ascii="宋体" w:hAnsi="宋体" w:cs="宋体"/>
          <w:sz w:val="32"/>
          <w:szCs w:val="24"/>
        </w:rPr>
        <w:t>东南电化公司</w:t>
      </w:r>
      <w:r>
        <w:rPr>
          <w:rFonts w:hint="eastAsia" w:ascii="宋体" w:hAnsi="宋体" w:cs="宋体"/>
          <w:sz w:val="32"/>
          <w:szCs w:val="24"/>
          <w:lang w:val="en-US" w:eastAsia="zh-CN"/>
        </w:rPr>
        <w:t>煤炭、润滑油分析外包检验服务清单</w:t>
      </w:r>
    </w:p>
    <w:tbl>
      <w:tblPr>
        <w:tblStyle w:val="6"/>
        <w:tblW w:w="98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1223"/>
        <w:gridCol w:w="3112"/>
        <w:gridCol w:w="3088"/>
        <w:gridCol w:w="1252"/>
      </w:tblGrid>
      <w:tr w14:paraId="7FD3F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199" w:type="dxa"/>
            <w:vAlign w:val="center"/>
          </w:tcPr>
          <w:p w14:paraId="6F14F4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货物</w:t>
            </w:r>
          </w:p>
        </w:tc>
        <w:tc>
          <w:tcPr>
            <w:tcW w:w="1223" w:type="dxa"/>
            <w:vAlign w:val="center"/>
          </w:tcPr>
          <w:p w14:paraId="46A8913B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类别</w:t>
            </w:r>
          </w:p>
        </w:tc>
        <w:tc>
          <w:tcPr>
            <w:tcW w:w="3112" w:type="dxa"/>
            <w:vAlign w:val="center"/>
          </w:tcPr>
          <w:p w14:paraId="1772130B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检验</w:t>
            </w:r>
            <w:r>
              <w:rPr>
                <w:rFonts w:hint="eastAsia" w:ascii="宋体" w:hAnsi="宋体" w:cs="宋体"/>
                <w:sz w:val="21"/>
                <w:szCs w:val="21"/>
              </w:rPr>
              <w:t>项目</w:t>
            </w:r>
          </w:p>
        </w:tc>
        <w:tc>
          <w:tcPr>
            <w:tcW w:w="3088" w:type="dxa"/>
            <w:vAlign w:val="center"/>
          </w:tcPr>
          <w:p w14:paraId="4C0EF0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检验方法</w:t>
            </w:r>
          </w:p>
        </w:tc>
        <w:tc>
          <w:tcPr>
            <w:tcW w:w="1252" w:type="dxa"/>
            <w:vAlign w:val="center"/>
          </w:tcPr>
          <w:p w14:paraId="30E22B4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分析频次</w:t>
            </w:r>
          </w:p>
        </w:tc>
      </w:tr>
      <w:tr w14:paraId="0A934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99" w:type="dxa"/>
            <w:vMerge w:val="restart"/>
            <w:vAlign w:val="center"/>
          </w:tcPr>
          <w:p w14:paraId="6CCE8E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入炉煤</w:t>
            </w:r>
          </w:p>
        </w:tc>
        <w:tc>
          <w:tcPr>
            <w:tcW w:w="1223" w:type="dxa"/>
            <w:vMerge w:val="restart"/>
            <w:vAlign w:val="center"/>
          </w:tcPr>
          <w:p w14:paraId="277DD17E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品质</w:t>
            </w:r>
          </w:p>
        </w:tc>
        <w:tc>
          <w:tcPr>
            <w:tcW w:w="3112" w:type="dxa"/>
            <w:vAlign w:val="center"/>
          </w:tcPr>
          <w:p w14:paraId="369C6A6E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全水分M</w:t>
            </w:r>
            <w:r>
              <w:rPr>
                <w:rFonts w:hint="default" w:ascii="Times New Roman" w:hAnsi="Times New Roman" w:cs="Times New Roman"/>
                <w:color w:val="000000"/>
                <w:vertAlign w:val="subscript"/>
                <w:lang w:val="en-US" w:eastAsia="zh-CN"/>
              </w:rPr>
              <w:t>t</w:t>
            </w:r>
          </w:p>
        </w:tc>
        <w:tc>
          <w:tcPr>
            <w:tcW w:w="3088" w:type="dxa"/>
            <w:vAlign w:val="center"/>
          </w:tcPr>
          <w:p w14:paraId="6A35AB0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211-2017方法B2</w:t>
            </w:r>
          </w:p>
        </w:tc>
        <w:tc>
          <w:tcPr>
            <w:tcW w:w="1252" w:type="dxa"/>
            <w:vMerge w:val="restart"/>
            <w:vAlign w:val="center"/>
          </w:tcPr>
          <w:p w14:paraId="077EE3DA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每天/次</w:t>
            </w:r>
          </w:p>
        </w:tc>
      </w:tr>
      <w:tr w14:paraId="731DE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99" w:type="dxa"/>
            <w:vMerge w:val="continue"/>
            <w:vAlign w:val="center"/>
          </w:tcPr>
          <w:p w14:paraId="61A2AA94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63170F7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vAlign w:val="center"/>
          </w:tcPr>
          <w:p w14:paraId="6778D2E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水分M</w:t>
            </w:r>
          </w:p>
        </w:tc>
        <w:tc>
          <w:tcPr>
            <w:tcW w:w="3088" w:type="dxa"/>
            <w:vAlign w:val="center"/>
          </w:tcPr>
          <w:p w14:paraId="7E95C10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212-2008方法B</w:t>
            </w:r>
          </w:p>
        </w:tc>
        <w:tc>
          <w:tcPr>
            <w:tcW w:w="1252" w:type="dxa"/>
            <w:vMerge w:val="continue"/>
            <w:vAlign w:val="center"/>
          </w:tcPr>
          <w:p w14:paraId="3A2408C1">
            <w:pPr>
              <w:jc w:val="center"/>
            </w:pPr>
          </w:p>
        </w:tc>
      </w:tr>
      <w:tr w14:paraId="745BF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99" w:type="dxa"/>
            <w:vMerge w:val="continue"/>
            <w:vAlign w:val="center"/>
          </w:tcPr>
          <w:p w14:paraId="22BA1465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40B71AA4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41F2433E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灰分A</w:t>
            </w:r>
          </w:p>
        </w:tc>
        <w:tc>
          <w:tcPr>
            <w:tcW w:w="3088" w:type="dxa"/>
            <w:vAlign w:val="center"/>
          </w:tcPr>
          <w:p w14:paraId="36B8142C">
            <w:pPr>
              <w:jc w:val="center"/>
              <w:rPr>
                <w:rFonts w:hint="eastAsia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212-2008</w:t>
            </w:r>
          </w:p>
          <w:p w14:paraId="5129A82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缓慢灰化法</w:t>
            </w:r>
          </w:p>
        </w:tc>
        <w:tc>
          <w:tcPr>
            <w:tcW w:w="1252" w:type="dxa"/>
            <w:vMerge w:val="continue"/>
            <w:vAlign w:val="center"/>
          </w:tcPr>
          <w:p w14:paraId="7F195524">
            <w:pPr>
              <w:jc w:val="center"/>
            </w:pPr>
          </w:p>
        </w:tc>
      </w:tr>
      <w:tr w14:paraId="5C03A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99" w:type="dxa"/>
            <w:vMerge w:val="continue"/>
            <w:vAlign w:val="center"/>
          </w:tcPr>
          <w:p w14:paraId="4A346420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73E98549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5B9BE39A">
            <w:pPr>
              <w:jc w:val="center"/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挥发分V</w:t>
            </w:r>
          </w:p>
        </w:tc>
        <w:tc>
          <w:tcPr>
            <w:tcW w:w="3088" w:type="dxa"/>
            <w:vAlign w:val="center"/>
          </w:tcPr>
          <w:p w14:paraId="618994C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212-2008</w:t>
            </w:r>
          </w:p>
        </w:tc>
        <w:tc>
          <w:tcPr>
            <w:tcW w:w="1252" w:type="dxa"/>
            <w:vMerge w:val="continue"/>
            <w:vAlign w:val="center"/>
          </w:tcPr>
          <w:p w14:paraId="79EDBCB5">
            <w:pPr>
              <w:jc w:val="center"/>
            </w:pPr>
          </w:p>
        </w:tc>
      </w:tr>
      <w:tr w14:paraId="5F48B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99" w:type="dxa"/>
            <w:vMerge w:val="continue"/>
            <w:vAlign w:val="center"/>
          </w:tcPr>
          <w:p w14:paraId="4656297D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4DED9E3A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51532D1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固定碳FC</w:t>
            </w:r>
          </w:p>
        </w:tc>
        <w:tc>
          <w:tcPr>
            <w:tcW w:w="3088" w:type="dxa"/>
            <w:vAlign w:val="center"/>
          </w:tcPr>
          <w:p w14:paraId="505BCEF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212-2008</w:t>
            </w:r>
          </w:p>
        </w:tc>
        <w:tc>
          <w:tcPr>
            <w:tcW w:w="1252" w:type="dxa"/>
            <w:vMerge w:val="continue"/>
            <w:vAlign w:val="center"/>
          </w:tcPr>
          <w:p w14:paraId="55E5830A">
            <w:pPr>
              <w:jc w:val="center"/>
            </w:pPr>
          </w:p>
        </w:tc>
      </w:tr>
      <w:tr w14:paraId="11E2A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99" w:type="dxa"/>
            <w:vMerge w:val="continue"/>
            <w:vAlign w:val="center"/>
          </w:tcPr>
          <w:p w14:paraId="1F15822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7DC6A792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2FEDB09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全硫S</w:t>
            </w:r>
            <w:r>
              <w:rPr>
                <w:rFonts w:hint="default" w:ascii="Times New Roman" w:hAnsi="Times New Roman" w:cs="Times New Roman"/>
                <w:color w:val="000000"/>
                <w:vertAlign w:val="subscript"/>
                <w:lang w:val="en-US" w:eastAsia="zh-CN"/>
              </w:rPr>
              <w:t>t</w:t>
            </w:r>
          </w:p>
        </w:tc>
        <w:tc>
          <w:tcPr>
            <w:tcW w:w="3088" w:type="dxa"/>
            <w:vAlign w:val="center"/>
          </w:tcPr>
          <w:p w14:paraId="68DD6133">
            <w:pPr>
              <w:jc w:val="center"/>
              <w:rPr>
                <w:rFonts w:hint="eastAsia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214-2007</w:t>
            </w:r>
          </w:p>
          <w:p w14:paraId="67542AB1">
            <w:pPr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库伦滴定法</w:t>
            </w:r>
          </w:p>
        </w:tc>
        <w:tc>
          <w:tcPr>
            <w:tcW w:w="1252" w:type="dxa"/>
            <w:vMerge w:val="continue"/>
            <w:vAlign w:val="center"/>
          </w:tcPr>
          <w:p w14:paraId="6442FFBD">
            <w:pPr>
              <w:jc w:val="center"/>
            </w:pPr>
          </w:p>
        </w:tc>
      </w:tr>
      <w:tr w14:paraId="35DF9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99" w:type="dxa"/>
            <w:vMerge w:val="continue"/>
            <w:vAlign w:val="center"/>
          </w:tcPr>
          <w:p w14:paraId="6E81A1EC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68126FB4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306D38B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氢H</w:t>
            </w:r>
          </w:p>
        </w:tc>
        <w:tc>
          <w:tcPr>
            <w:tcW w:w="3088" w:type="dxa"/>
            <w:vAlign w:val="center"/>
          </w:tcPr>
          <w:p w14:paraId="2F427A5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30733-2014</w:t>
            </w:r>
          </w:p>
        </w:tc>
        <w:tc>
          <w:tcPr>
            <w:tcW w:w="1252" w:type="dxa"/>
            <w:vMerge w:val="continue"/>
            <w:vAlign w:val="center"/>
          </w:tcPr>
          <w:p w14:paraId="3E432217">
            <w:pPr>
              <w:jc w:val="center"/>
            </w:pPr>
          </w:p>
        </w:tc>
      </w:tr>
      <w:tr w14:paraId="664B4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99" w:type="dxa"/>
            <w:vMerge w:val="continue"/>
            <w:vAlign w:val="center"/>
          </w:tcPr>
          <w:p w14:paraId="59E365C6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257506B1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02F7D5DD">
            <w:pPr>
              <w:jc w:val="center"/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</w:pPr>
            <w:r>
              <w:rPr>
                <w:rFonts w:hint="eastAsia" w:cs="Times New Roman"/>
                <w:color w:val="000000"/>
                <w:lang w:val="en-US" w:eastAsia="zh-CN"/>
              </w:rPr>
              <w:t>碳C</w:t>
            </w:r>
          </w:p>
        </w:tc>
        <w:tc>
          <w:tcPr>
            <w:tcW w:w="3088" w:type="dxa"/>
            <w:vAlign w:val="center"/>
          </w:tcPr>
          <w:p w14:paraId="47ADF34A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30733-2014</w:t>
            </w:r>
          </w:p>
        </w:tc>
        <w:tc>
          <w:tcPr>
            <w:tcW w:w="1252" w:type="dxa"/>
            <w:vMerge w:val="continue"/>
            <w:vAlign w:val="center"/>
          </w:tcPr>
          <w:p w14:paraId="43E637AC">
            <w:pPr>
              <w:jc w:val="center"/>
            </w:pPr>
          </w:p>
        </w:tc>
      </w:tr>
      <w:tr w14:paraId="3DEFB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99" w:type="dxa"/>
            <w:vMerge w:val="continue"/>
            <w:vAlign w:val="center"/>
          </w:tcPr>
          <w:p w14:paraId="4C557B59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79D52E6E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2C83EC4A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高位发热量Q</w:t>
            </w:r>
            <w:r>
              <w:rPr>
                <w:rFonts w:hint="default" w:ascii="Times New Roman" w:hAnsi="Times New Roman" w:cs="Times New Roman"/>
                <w:color w:val="000000"/>
                <w:vertAlign w:val="subscript"/>
                <w:lang w:val="en-US" w:eastAsia="zh-CN"/>
              </w:rPr>
              <w:t>gr</w:t>
            </w:r>
          </w:p>
        </w:tc>
        <w:tc>
          <w:tcPr>
            <w:tcW w:w="3088" w:type="dxa"/>
            <w:vAlign w:val="center"/>
          </w:tcPr>
          <w:p w14:paraId="2CFE346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213-2008</w:t>
            </w:r>
          </w:p>
        </w:tc>
        <w:tc>
          <w:tcPr>
            <w:tcW w:w="1252" w:type="dxa"/>
            <w:vMerge w:val="continue"/>
            <w:vAlign w:val="center"/>
          </w:tcPr>
          <w:p w14:paraId="6D520FBC">
            <w:pPr>
              <w:jc w:val="center"/>
            </w:pPr>
          </w:p>
        </w:tc>
      </w:tr>
      <w:tr w14:paraId="0A2B2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99" w:type="dxa"/>
            <w:vMerge w:val="continue"/>
            <w:vAlign w:val="center"/>
          </w:tcPr>
          <w:p w14:paraId="31F31279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74873274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468439F1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低位发热量Q</w:t>
            </w:r>
            <w:r>
              <w:rPr>
                <w:rFonts w:hint="default" w:ascii="Times New Roman" w:hAnsi="Times New Roman" w:cs="Times New Roman"/>
                <w:color w:val="000000"/>
                <w:vertAlign w:val="subscript"/>
                <w:lang w:val="en-US" w:eastAsia="zh-CN"/>
              </w:rPr>
              <w:t>net</w:t>
            </w:r>
          </w:p>
        </w:tc>
        <w:tc>
          <w:tcPr>
            <w:tcW w:w="3088" w:type="dxa"/>
            <w:vAlign w:val="center"/>
          </w:tcPr>
          <w:p w14:paraId="7ED60EF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213-2008</w:t>
            </w:r>
          </w:p>
        </w:tc>
        <w:tc>
          <w:tcPr>
            <w:tcW w:w="1252" w:type="dxa"/>
            <w:vMerge w:val="continue"/>
            <w:vAlign w:val="center"/>
          </w:tcPr>
          <w:p w14:paraId="0FAB65CA">
            <w:pPr>
              <w:jc w:val="center"/>
            </w:pPr>
          </w:p>
        </w:tc>
      </w:tr>
      <w:tr w14:paraId="64198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99" w:type="dxa"/>
            <w:vMerge w:val="restart"/>
            <w:vAlign w:val="center"/>
          </w:tcPr>
          <w:p w14:paraId="4922909B">
            <w:pPr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入厂煤</w:t>
            </w:r>
          </w:p>
        </w:tc>
        <w:tc>
          <w:tcPr>
            <w:tcW w:w="1223" w:type="dxa"/>
            <w:vMerge w:val="restart"/>
            <w:vAlign w:val="center"/>
          </w:tcPr>
          <w:p w14:paraId="40235A9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品质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38B2CA7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全水分M</w:t>
            </w:r>
            <w:r>
              <w:rPr>
                <w:rFonts w:hint="default" w:ascii="Times New Roman" w:hAnsi="Times New Roman" w:cs="Times New Roman"/>
                <w:color w:val="000000"/>
                <w:vertAlign w:val="subscript"/>
                <w:lang w:val="en-US" w:eastAsia="zh-CN"/>
              </w:rPr>
              <w:t>t</w:t>
            </w:r>
          </w:p>
        </w:tc>
        <w:tc>
          <w:tcPr>
            <w:tcW w:w="3088" w:type="dxa"/>
            <w:vAlign w:val="center"/>
          </w:tcPr>
          <w:p w14:paraId="66B70EE5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211-2017方法B2</w:t>
            </w:r>
          </w:p>
        </w:tc>
        <w:tc>
          <w:tcPr>
            <w:tcW w:w="1252" w:type="dxa"/>
            <w:vMerge w:val="restart"/>
            <w:vAlign w:val="center"/>
          </w:tcPr>
          <w:p w14:paraId="3A0FC9D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按批/次</w:t>
            </w:r>
          </w:p>
        </w:tc>
      </w:tr>
      <w:tr w14:paraId="276D7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vAlign w:val="center"/>
          </w:tcPr>
          <w:p w14:paraId="657CFAE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34A086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12" w:type="dxa"/>
            <w:vAlign w:val="center"/>
          </w:tcPr>
          <w:p w14:paraId="3AD1F85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水分M</w:t>
            </w:r>
          </w:p>
        </w:tc>
        <w:tc>
          <w:tcPr>
            <w:tcW w:w="3088" w:type="dxa"/>
            <w:vAlign w:val="center"/>
          </w:tcPr>
          <w:p w14:paraId="50B7B5FA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212-2008方法B</w:t>
            </w:r>
          </w:p>
        </w:tc>
        <w:tc>
          <w:tcPr>
            <w:tcW w:w="1252" w:type="dxa"/>
            <w:vMerge w:val="continue"/>
            <w:vAlign w:val="center"/>
          </w:tcPr>
          <w:p w14:paraId="42880FEF">
            <w:pPr>
              <w:jc w:val="center"/>
            </w:pPr>
          </w:p>
        </w:tc>
      </w:tr>
      <w:tr w14:paraId="29484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vAlign w:val="center"/>
          </w:tcPr>
          <w:p w14:paraId="0CDC0012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7D4848C6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515F3EA3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灰分A</w:t>
            </w:r>
          </w:p>
        </w:tc>
        <w:tc>
          <w:tcPr>
            <w:tcW w:w="3088" w:type="dxa"/>
            <w:vAlign w:val="center"/>
          </w:tcPr>
          <w:p w14:paraId="1DAABE78">
            <w:pPr>
              <w:jc w:val="center"/>
              <w:rPr>
                <w:rFonts w:hint="eastAsia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212-2008</w:t>
            </w:r>
          </w:p>
          <w:p w14:paraId="6DB37D4F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缓慢灰化法</w:t>
            </w:r>
          </w:p>
        </w:tc>
        <w:tc>
          <w:tcPr>
            <w:tcW w:w="1252" w:type="dxa"/>
            <w:vMerge w:val="continue"/>
            <w:vAlign w:val="center"/>
          </w:tcPr>
          <w:p w14:paraId="2A4F35AE">
            <w:pPr>
              <w:jc w:val="center"/>
            </w:pPr>
          </w:p>
        </w:tc>
      </w:tr>
      <w:tr w14:paraId="69103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vAlign w:val="center"/>
          </w:tcPr>
          <w:p w14:paraId="305E4782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0E0243FC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38B4EEB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挥发分V</w:t>
            </w:r>
          </w:p>
        </w:tc>
        <w:tc>
          <w:tcPr>
            <w:tcW w:w="3088" w:type="dxa"/>
            <w:vAlign w:val="center"/>
          </w:tcPr>
          <w:p w14:paraId="2F29E75D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212-2008</w:t>
            </w:r>
          </w:p>
        </w:tc>
        <w:tc>
          <w:tcPr>
            <w:tcW w:w="1252" w:type="dxa"/>
            <w:vMerge w:val="continue"/>
            <w:vAlign w:val="center"/>
          </w:tcPr>
          <w:p w14:paraId="79CB232B">
            <w:pPr>
              <w:jc w:val="center"/>
            </w:pPr>
          </w:p>
        </w:tc>
      </w:tr>
      <w:tr w14:paraId="6EB3B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vAlign w:val="center"/>
          </w:tcPr>
          <w:p w14:paraId="71E5B0D4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39179631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34CC19B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固定碳FC</w:t>
            </w:r>
          </w:p>
        </w:tc>
        <w:tc>
          <w:tcPr>
            <w:tcW w:w="3088" w:type="dxa"/>
            <w:vAlign w:val="center"/>
          </w:tcPr>
          <w:p w14:paraId="6A91AB35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212-2008</w:t>
            </w:r>
          </w:p>
        </w:tc>
        <w:tc>
          <w:tcPr>
            <w:tcW w:w="1252" w:type="dxa"/>
            <w:vMerge w:val="continue"/>
            <w:vAlign w:val="center"/>
          </w:tcPr>
          <w:p w14:paraId="73059913">
            <w:pPr>
              <w:jc w:val="center"/>
            </w:pPr>
          </w:p>
        </w:tc>
      </w:tr>
      <w:tr w14:paraId="7020A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vAlign w:val="center"/>
          </w:tcPr>
          <w:p w14:paraId="7B0B5B50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00C80673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6F5D6226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全硫S</w:t>
            </w:r>
            <w:r>
              <w:rPr>
                <w:rFonts w:hint="default" w:ascii="Times New Roman" w:hAnsi="Times New Roman" w:cs="Times New Roman"/>
                <w:color w:val="000000"/>
                <w:vertAlign w:val="subscript"/>
                <w:lang w:val="en-US" w:eastAsia="zh-CN"/>
              </w:rPr>
              <w:t>t</w:t>
            </w:r>
          </w:p>
        </w:tc>
        <w:tc>
          <w:tcPr>
            <w:tcW w:w="3088" w:type="dxa"/>
            <w:vAlign w:val="center"/>
          </w:tcPr>
          <w:p w14:paraId="5A015FBA">
            <w:pPr>
              <w:jc w:val="center"/>
              <w:rPr>
                <w:rFonts w:hint="eastAsia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214-2007</w:t>
            </w:r>
          </w:p>
          <w:p w14:paraId="046561FA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lang w:val="en-US" w:eastAsia="zh-CN"/>
              </w:rPr>
              <w:t>库伦滴定法</w:t>
            </w:r>
          </w:p>
        </w:tc>
        <w:tc>
          <w:tcPr>
            <w:tcW w:w="1252" w:type="dxa"/>
            <w:vMerge w:val="continue"/>
            <w:vAlign w:val="center"/>
          </w:tcPr>
          <w:p w14:paraId="65E5586B">
            <w:pPr>
              <w:jc w:val="center"/>
            </w:pPr>
          </w:p>
        </w:tc>
      </w:tr>
      <w:tr w14:paraId="3A709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vAlign w:val="center"/>
          </w:tcPr>
          <w:p w14:paraId="122B89DE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2C60284A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45C17F65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氢H</w:t>
            </w:r>
          </w:p>
        </w:tc>
        <w:tc>
          <w:tcPr>
            <w:tcW w:w="3088" w:type="dxa"/>
            <w:vAlign w:val="center"/>
          </w:tcPr>
          <w:p w14:paraId="3E320D6D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30733-2014</w:t>
            </w:r>
          </w:p>
        </w:tc>
        <w:tc>
          <w:tcPr>
            <w:tcW w:w="1252" w:type="dxa"/>
            <w:vMerge w:val="continue"/>
            <w:vAlign w:val="center"/>
          </w:tcPr>
          <w:p w14:paraId="61B681E5">
            <w:pPr>
              <w:jc w:val="center"/>
            </w:pPr>
          </w:p>
        </w:tc>
      </w:tr>
      <w:tr w14:paraId="06B72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vAlign w:val="center"/>
          </w:tcPr>
          <w:p w14:paraId="66FC86BC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623205C0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5EB3A946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高位发热量Q</w:t>
            </w:r>
            <w:r>
              <w:rPr>
                <w:rFonts w:hint="default" w:ascii="Times New Roman" w:hAnsi="Times New Roman" w:cs="Times New Roman"/>
                <w:color w:val="000000"/>
                <w:vertAlign w:val="subscript"/>
                <w:lang w:val="en-US" w:eastAsia="zh-CN"/>
              </w:rPr>
              <w:t>gr</w:t>
            </w:r>
          </w:p>
        </w:tc>
        <w:tc>
          <w:tcPr>
            <w:tcW w:w="3088" w:type="dxa"/>
            <w:vAlign w:val="center"/>
          </w:tcPr>
          <w:p w14:paraId="6D6AD04A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213-2008</w:t>
            </w:r>
          </w:p>
        </w:tc>
        <w:tc>
          <w:tcPr>
            <w:tcW w:w="1252" w:type="dxa"/>
            <w:vMerge w:val="continue"/>
            <w:vAlign w:val="center"/>
          </w:tcPr>
          <w:p w14:paraId="7F293290">
            <w:pPr>
              <w:jc w:val="center"/>
            </w:pPr>
          </w:p>
        </w:tc>
      </w:tr>
      <w:tr w14:paraId="00D20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vAlign w:val="center"/>
          </w:tcPr>
          <w:p w14:paraId="7F66D059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1B828A23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75FE0E94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低位发热量Q</w:t>
            </w:r>
            <w:r>
              <w:rPr>
                <w:rFonts w:hint="default" w:ascii="Times New Roman" w:hAnsi="Times New Roman" w:cs="Times New Roman"/>
                <w:color w:val="000000"/>
                <w:vertAlign w:val="subscript"/>
                <w:lang w:val="en-US" w:eastAsia="zh-CN"/>
              </w:rPr>
              <w:t>net</w:t>
            </w:r>
          </w:p>
        </w:tc>
        <w:tc>
          <w:tcPr>
            <w:tcW w:w="3088" w:type="dxa"/>
            <w:vAlign w:val="center"/>
          </w:tcPr>
          <w:p w14:paraId="22E7F803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213-2008</w:t>
            </w:r>
          </w:p>
        </w:tc>
        <w:tc>
          <w:tcPr>
            <w:tcW w:w="1252" w:type="dxa"/>
            <w:vMerge w:val="continue"/>
            <w:vAlign w:val="center"/>
          </w:tcPr>
          <w:p w14:paraId="5D4F75C6">
            <w:pPr>
              <w:jc w:val="center"/>
            </w:pPr>
          </w:p>
        </w:tc>
      </w:tr>
      <w:tr w14:paraId="06B17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vAlign w:val="center"/>
          </w:tcPr>
          <w:p w14:paraId="53281224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2DB6A56C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0AC827D4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碳C</w:t>
            </w:r>
          </w:p>
        </w:tc>
        <w:tc>
          <w:tcPr>
            <w:tcW w:w="3088" w:type="dxa"/>
            <w:vAlign w:val="center"/>
          </w:tcPr>
          <w:p w14:paraId="179A0BE8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30733-2014</w:t>
            </w:r>
          </w:p>
        </w:tc>
        <w:tc>
          <w:tcPr>
            <w:tcW w:w="1252" w:type="dxa"/>
            <w:vMerge w:val="continue"/>
            <w:vAlign w:val="center"/>
          </w:tcPr>
          <w:p w14:paraId="3A9BD66C">
            <w:pPr>
              <w:jc w:val="center"/>
            </w:pPr>
          </w:p>
        </w:tc>
      </w:tr>
      <w:tr w14:paraId="615CB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restart"/>
            <w:vAlign w:val="center"/>
          </w:tcPr>
          <w:p w14:paraId="19505C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煤灰、煤渣</w:t>
            </w:r>
          </w:p>
        </w:tc>
        <w:tc>
          <w:tcPr>
            <w:tcW w:w="1223" w:type="dxa"/>
            <w:vMerge w:val="restart"/>
            <w:vAlign w:val="center"/>
          </w:tcPr>
          <w:p w14:paraId="028A669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品质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1C10BB35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灰分A</w:t>
            </w:r>
          </w:p>
        </w:tc>
        <w:tc>
          <w:tcPr>
            <w:tcW w:w="3088" w:type="dxa"/>
            <w:vAlign w:val="center"/>
          </w:tcPr>
          <w:p w14:paraId="6B35B446">
            <w:pPr>
              <w:jc w:val="center"/>
              <w:rPr>
                <w:rFonts w:hint="eastAsia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212-2008</w:t>
            </w:r>
          </w:p>
          <w:p w14:paraId="0E2BEE84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lang w:val="en-US" w:eastAsia="zh-CN"/>
              </w:rPr>
              <w:t>缓慢灰化法</w:t>
            </w:r>
          </w:p>
        </w:tc>
        <w:tc>
          <w:tcPr>
            <w:tcW w:w="1252" w:type="dxa"/>
            <w:vMerge w:val="restart"/>
            <w:vAlign w:val="center"/>
          </w:tcPr>
          <w:p w14:paraId="181F4E86">
            <w:pPr>
              <w:jc w:val="center"/>
            </w:pPr>
            <w:r>
              <w:rPr>
                <w:rFonts w:hint="eastAsia"/>
                <w:lang w:val="en-US" w:eastAsia="zh-CN"/>
              </w:rPr>
              <w:t>每周/次</w:t>
            </w:r>
          </w:p>
        </w:tc>
      </w:tr>
      <w:tr w14:paraId="58820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vAlign w:val="center"/>
          </w:tcPr>
          <w:p w14:paraId="38F3EFC3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0F640D05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052BE526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挥发分V</w:t>
            </w:r>
          </w:p>
        </w:tc>
        <w:tc>
          <w:tcPr>
            <w:tcW w:w="3088" w:type="dxa"/>
            <w:vAlign w:val="center"/>
          </w:tcPr>
          <w:p w14:paraId="19EB3614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212-2008</w:t>
            </w:r>
          </w:p>
        </w:tc>
        <w:tc>
          <w:tcPr>
            <w:tcW w:w="1252" w:type="dxa"/>
            <w:vMerge w:val="continue"/>
            <w:vAlign w:val="center"/>
          </w:tcPr>
          <w:p w14:paraId="12F4C15A">
            <w:pPr>
              <w:jc w:val="center"/>
            </w:pPr>
          </w:p>
        </w:tc>
      </w:tr>
      <w:tr w14:paraId="0508F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vAlign w:val="center"/>
          </w:tcPr>
          <w:p w14:paraId="03C91184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72D171AE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14:paraId="39232596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固定碳FC</w:t>
            </w:r>
          </w:p>
        </w:tc>
        <w:tc>
          <w:tcPr>
            <w:tcW w:w="3088" w:type="dxa"/>
            <w:vAlign w:val="center"/>
          </w:tcPr>
          <w:p w14:paraId="3EFC2055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GB/T </w:t>
            </w:r>
            <w:r>
              <w:rPr>
                <w:rFonts w:hint="eastAsia" w:cs="Times New Roman"/>
                <w:lang w:val="en-US" w:eastAsia="zh-CN"/>
              </w:rPr>
              <w:t>212-2008</w:t>
            </w:r>
          </w:p>
        </w:tc>
        <w:tc>
          <w:tcPr>
            <w:tcW w:w="1252" w:type="dxa"/>
            <w:vMerge w:val="continue"/>
            <w:vAlign w:val="center"/>
          </w:tcPr>
          <w:p w14:paraId="4AAD38A8">
            <w:pPr>
              <w:jc w:val="center"/>
            </w:pPr>
          </w:p>
        </w:tc>
      </w:tr>
      <w:tr w14:paraId="7C4EF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restart"/>
            <w:vAlign w:val="center"/>
          </w:tcPr>
          <w:p w14:paraId="7992BD68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润滑油</w:t>
            </w:r>
          </w:p>
        </w:tc>
        <w:tc>
          <w:tcPr>
            <w:tcW w:w="1223" w:type="dxa"/>
            <w:vMerge w:val="restart"/>
            <w:vAlign w:val="center"/>
          </w:tcPr>
          <w:p w14:paraId="06540BDF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品质</w:t>
            </w:r>
          </w:p>
        </w:tc>
        <w:tc>
          <w:tcPr>
            <w:tcW w:w="3112" w:type="dxa"/>
            <w:vAlign w:val="center"/>
          </w:tcPr>
          <w:p w14:paraId="27F47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运动粘度（</w:t>
            </w:r>
            <w:r>
              <w:rPr>
                <w:rStyle w:val="40"/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"/>
              </w:rPr>
              <w:t>40℃</w:t>
            </w:r>
            <w:r>
              <w:rPr>
                <w:rStyle w:val="41"/>
                <w:rFonts w:hint="default" w:ascii="Times New Roman" w:hAnsi="Times New Roman" w:cs="Times New Roman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3088" w:type="dxa"/>
            <w:vAlign w:val="center"/>
          </w:tcPr>
          <w:p w14:paraId="23463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GB/T 265-88</w:t>
            </w:r>
          </w:p>
        </w:tc>
        <w:tc>
          <w:tcPr>
            <w:tcW w:w="1252" w:type="dxa"/>
            <w:vMerge w:val="restart"/>
            <w:vAlign w:val="center"/>
          </w:tcPr>
          <w:p w14:paraId="40892E2B">
            <w:pPr>
              <w:jc w:val="center"/>
            </w:pPr>
            <w:r>
              <w:rPr>
                <w:rFonts w:hint="eastAsia"/>
                <w:lang w:val="en-US" w:eastAsia="zh-CN"/>
              </w:rPr>
              <w:t>每月/次</w:t>
            </w:r>
          </w:p>
        </w:tc>
      </w:tr>
      <w:tr w14:paraId="79F97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vAlign w:val="center"/>
          </w:tcPr>
          <w:p w14:paraId="100A9319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390A2DEF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vAlign w:val="center"/>
          </w:tcPr>
          <w:p w14:paraId="2F5AE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水分</w:t>
            </w:r>
          </w:p>
        </w:tc>
        <w:tc>
          <w:tcPr>
            <w:tcW w:w="3088" w:type="dxa"/>
            <w:vAlign w:val="center"/>
          </w:tcPr>
          <w:p w14:paraId="516D6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GB/T 11133-2015</w:t>
            </w:r>
          </w:p>
        </w:tc>
        <w:tc>
          <w:tcPr>
            <w:tcW w:w="1252" w:type="dxa"/>
            <w:vMerge w:val="continue"/>
            <w:vAlign w:val="center"/>
          </w:tcPr>
          <w:p w14:paraId="64130525">
            <w:pPr>
              <w:jc w:val="center"/>
            </w:pPr>
          </w:p>
        </w:tc>
      </w:tr>
      <w:tr w14:paraId="5BDE7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vAlign w:val="center"/>
          </w:tcPr>
          <w:p w14:paraId="3B6E7E86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5FD51BA5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vAlign w:val="center"/>
          </w:tcPr>
          <w:p w14:paraId="22BA3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闪点（开口）</w:t>
            </w:r>
          </w:p>
        </w:tc>
        <w:tc>
          <w:tcPr>
            <w:tcW w:w="3088" w:type="dxa"/>
            <w:vAlign w:val="center"/>
          </w:tcPr>
          <w:p w14:paraId="0E129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</w:rPr>
              <w:t>GB/T 3536-2008</w:t>
            </w:r>
          </w:p>
        </w:tc>
        <w:tc>
          <w:tcPr>
            <w:tcW w:w="1252" w:type="dxa"/>
            <w:vMerge w:val="continue"/>
            <w:vAlign w:val="center"/>
          </w:tcPr>
          <w:p w14:paraId="26D72CA8">
            <w:pPr>
              <w:jc w:val="center"/>
            </w:pPr>
          </w:p>
        </w:tc>
      </w:tr>
      <w:tr w14:paraId="6992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vAlign w:val="center"/>
          </w:tcPr>
          <w:p w14:paraId="46824738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4FBF8D41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vAlign w:val="center"/>
          </w:tcPr>
          <w:p w14:paraId="14356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破乳化值</w:t>
            </w:r>
          </w:p>
        </w:tc>
        <w:tc>
          <w:tcPr>
            <w:tcW w:w="3088" w:type="dxa"/>
            <w:vAlign w:val="center"/>
          </w:tcPr>
          <w:p w14:paraId="06E26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GB/T 7605-2008</w:t>
            </w:r>
          </w:p>
        </w:tc>
        <w:tc>
          <w:tcPr>
            <w:tcW w:w="1252" w:type="dxa"/>
            <w:vMerge w:val="continue"/>
            <w:vAlign w:val="center"/>
          </w:tcPr>
          <w:p w14:paraId="0DDA31A0">
            <w:pPr>
              <w:jc w:val="center"/>
            </w:pPr>
          </w:p>
        </w:tc>
      </w:tr>
      <w:tr w14:paraId="419F7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vAlign w:val="center"/>
          </w:tcPr>
          <w:p w14:paraId="0D10EAA1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3754F41B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vAlign w:val="center"/>
          </w:tcPr>
          <w:p w14:paraId="517E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机械杂质</w:t>
            </w:r>
          </w:p>
        </w:tc>
        <w:tc>
          <w:tcPr>
            <w:tcW w:w="3088" w:type="dxa"/>
            <w:vAlign w:val="center"/>
          </w:tcPr>
          <w:p w14:paraId="35836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GB/T 511-2010</w:t>
            </w:r>
          </w:p>
        </w:tc>
        <w:tc>
          <w:tcPr>
            <w:tcW w:w="1252" w:type="dxa"/>
            <w:vMerge w:val="continue"/>
            <w:vAlign w:val="center"/>
          </w:tcPr>
          <w:p w14:paraId="36F778A0">
            <w:pPr>
              <w:jc w:val="center"/>
            </w:pPr>
          </w:p>
        </w:tc>
      </w:tr>
      <w:tr w14:paraId="2C235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99" w:type="dxa"/>
            <w:vMerge w:val="continue"/>
            <w:vAlign w:val="center"/>
          </w:tcPr>
          <w:p w14:paraId="1F5AD7D5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1223" w:type="dxa"/>
            <w:vMerge w:val="continue"/>
            <w:vAlign w:val="center"/>
          </w:tcPr>
          <w:p w14:paraId="6727BDB8"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3112" w:type="dxa"/>
            <w:vAlign w:val="center"/>
          </w:tcPr>
          <w:p w14:paraId="5ECF9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酸值</w:t>
            </w:r>
          </w:p>
        </w:tc>
        <w:tc>
          <w:tcPr>
            <w:tcW w:w="3088" w:type="dxa"/>
            <w:shd w:val="clear"/>
            <w:vAlign w:val="center"/>
          </w:tcPr>
          <w:p w14:paraId="31ADA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GB/T 264-83</w:t>
            </w:r>
          </w:p>
        </w:tc>
        <w:tc>
          <w:tcPr>
            <w:tcW w:w="1252" w:type="dxa"/>
            <w:vMerge w:val="continue"/>
            <w:vAlign w:val="center"/>
          </w:tcPr>
          <w:p w14:paraId="1D8AFB84">
            <w:pPr>
              <w:jc w:val="center"/>
            </w:pPr>
          </w:p>
        </w:tc>
      </w:tr>
    </w:tbl>
    <w:p w14:paraId="0536FFDB">
      <w:pPr>
        <w:rPr>
          <w:rFonts w:hint="eastAsia" w:ascii="宋体" w:hAnsi="宋体" w:cs="宋体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077" w:bottom="714" w:left="1077" w:header="283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U4YzgyY2I0NjgwNWYyMmE2ZjhjOTNmMGVmYjA5NGUifQ=="/>
  </w:docVars>
  <w:rsids>
    <w:rsidRoot w:val="00172A27"/>
    <w:rsid w:val="00061A06"/>
    <w:rsid w:val="0007533E"/>
    <w:rsid w:val="000909F7"/>
    <w:rsid w:val="000C4C5E"/>
    <w:rsid w:val="000C6899"/>
    <w:rsid w:val="00127D16"/>
    <w:rsid w:val="00172A27"/>
    <w:rsid w:val="001807D5"/>
    <w:rsid w:val="00186402"/>
    <w:rsid w:val="00186427"/>
    <w:rsid w:val="001B113D"/>
    <w:rsid w:val="001E409C"/>
    <w:rsid w:val="001E5D5A"/>
    <w:rsid w:val="001F13BA"/>
    <w:rsid w:val="001F66F4"/>
    <w:rsid w:val="00213F03"/>
    <w:rsid w:val="00260615"/>
    <w:rsid w:val="002B15BB"/>
    <w:rsid w:val="002E1FFC"/>
    <w:rsid w:val="00307901"/>
    <w:rsid w:val="00346198"/>
    <w:rsid w:val="003C281E"/>
    <w:rsid w:val="003D6A0B"/>
    <w:rsid w:val="00415A8D"/>
    <w:rsid w:val="004346C4"/>
    <w:rsid w:val="00435DC5"/>
    <w:rsid w:val="00447EC8"/>
    <w:rsid w:val="00456BA7"/>
    <w:rsid w:val="004B7310"/>
    <w:rsid w:val="004C3393"/>
    <w:rsid w:val="004D3F7D"/>
    <w:rsid w:val="004F3CE7"/>
    <w:rsid w:val="006726E3"/>
    <w:rsid w:val="006E1FFD"/>
    <w:rsid w:val="00711422"/>
    <w:rsid w:val="007303B0"/>
    <w:rsid w:val="007434AC"/>
    <w:rsid w:val="007644FA"/>
    <w:rsid w:val="00790089"/>
    <w:rsid w:val="007907E4"/>
    <w:rsid w:val="00791458"/>
    <w:rsid w:val="007D66C2"/>
    <w:rsid w:val="008014AA"/>
    <w:rsid w:val="008073CC"/>
    <w:rsid w:val="00831B84"/>
    <w:rsid w:val="00847F12"/>
    <w:rsid w:val="0085240C"/>
    <w:rsid w:val="008A21A4"/>
    <w:rsid w:val="008A3F6C"/>
    <w:rsid w:val="008D42F7"/>
    <w:rsid w:val="008D4F0E"/>
    <w:rsid w:val="008D6CDD"/>
    <w:rsid w:val="008F6C4F"/>
    <w:rsid w:val="00910F8C"/>
    <w:rsid w:val="00913F9C"/>
    <w:rsid w:val="0092532A"/>
    <w:rsid w:val="00936AC6"/>
    <w:rsid w:val="009B018E"/>
    <w:rsid w:val="009C07DC"/>
    <w:rsid w:val="00A27700"/>
    <w:rsid w:val="00A40C5E"/>
    <w:rsid w:val="00A43318"/>
    <w:rsid w:val="00A5247A"/>
    <w:rsid w:val="00A95EC5"/>
    <w:rsid w:val="00AB6C63"/>
    <w:rsid w:val="00AE0D3C"/>
    <w:rsid w:val="00AF518E"/>
    <w:rsid w:val="00B16016"/>
    <w:rsid w:val="00B5614B"/>
    <w:rsid w:val="00B63F90"/>
    <w:rsid w:val="00B73BCB"/>
    <w:rsid w:val="00C12643"/>
    <w:rsid w:val="00C36B17"/>
    <w:rsid w:val="00C80D1A"/>
    <w:rsid w:val="00CB3F4F"/>
    <w:rsid w:val="00CC4B21"/>
    <w:rsid w:val="00D000F1"/>
    <w:rsid w:val="00D017BA"/>
    <w:rsid w:val="00D16239"/>
    <w:rsid w:val="00D72D71"/>
    <w:rsid w:val="00DA3165"/>
    <w:rsid w:val="00DA4918"/>
    <w:rsid w:val="00DA5418"/>
    <w:rsid w:val="00DD6B00"/>
    <w:rsid w:val="00E24AFA"/>
    <w:rsid w:val="00E5015D"/>
    <w:rsid w:val="00E56373"/>
    <w:rsid w:val="00EA0403"/>
    <w:rsid w:val="00F11D1A"/>
    <w:rsid w:val="00F60697"/>
    <w:rsid w:val="00F647AA"/>
    <w:rsid w:val="00F8094F"/>
    <w:rsid w:val="00F87D40"/>
    <w:rsid w:val="00F90C78"/>
    <w:rsid w:val="00FA1B28"/>
    <w:rsid w:val="010D19D8"/>
    <w:rsid w:val="020C3BFA"/>
    <w:rsid w:val="021C380A"/>
    <w:rsid w:val="0228719A"/>
    <w:rsid w:val="02E67F37"/>
    <w:rsid w:val="02FE64A3"/>
    <w:rsid w:val="03DB41BC"/>
    <w:rsid w:val="05BB6193"/>
    <w:rsid w:val="063B7DB2"/>
    <w:rsid w:val="0658560F"/>
    <w:rsid w:val="06BA1241"/>
    <w:rsid w:val="071D7EE6"/>
    <w:rsid w:val="07527D03"/>
    <w:rsid w:val="08A57500"/>
    <w:rsid w:val="08BE73D8"/>
    <w:rsid w:val="0942143F"/>
    <w:rsid w:val="095C6171"/>
    <w:rsid w:val="09631EDE"/>
    <w:rsid w:val="098749E2"/>
    <w:rsid w:val="09EC1E5F"/>
    <w:rsid w:val="0C0416AD"/>
    <w:rsid w:val="0C0541ED"/>
    <w:rsid w:val="0CD35C08"/>
    <w:rsid w:val="0CD44BA3"/>
    <w:rsid w:val="0D3E6C36"/>
    <w:rsid w:val="0F7F5E6D"/>
    <w:rsid w:val="103035F9"/>
    <w:rsid w:val="112D7A2A"/>
    <w:rsid w:val="11556C74"/>
    <w:rsid w:val="11665F82"/>
    <w:rsid w:val="11D3329A"/>
    <w:rsid w:val="12A43683"/>
    <w:rsid w:val="136B195E"/>
    <w:rsid w:val="13D645FD"/>
    <w:rsid w:val="140616C9"/>
    <w:rsid w:val="14A57F7A"/>
    <w:rsid w:val="151E6D2D"/>
    <w:rsid w:val="15576A90"/>
    <w:rsid w:val="15FB2357"/>
    <w:rsid w:val="163D03DD"/>
    <w:rsid w:val="16AF0D49"/>
    <w:rsid w:val="178D7751"/>
    <w:rsid w:val="17992C3A"/>
    <w:rsid w:val="19381092"/>
    <w:rsid w:val="19410C35"/>
    <w:rsid w:val="198562CE"/>
    <w:rsid w:val="1A0A5A84"/>
    <w:rsid w:val="1B9351A2"/>
    <w:rsid w:val="1C5E6EED"/>
    <w:rsid w:val="1C867A3F"/>
    <w:rsid w:val="1CA04BF3"/>
    <w:rsid w:val="1DA5166F"/>
    <w:rsid w:val="1DEF0DDC"/>
    <w:rsid w:val="1EE95854"/>
    <w:rsid w:val="1F2C7A35"/>
    <w:rsid w:val="1F611F7F"/>
    <w:rsid w:val="1FDA75FD"/>
    <w:rsid w:val="212104E0"/>
    <w:rsid w:val="21FC0A6C"/>
    <w:rsid w:val="22506ABF"/>
    <w:rsid w:val="24554DEB"/>
    <w:rsid w:val="24986A91"/>
    <w:rsid w:val="24E76411"/>
    <w:rsid w:val="250B7C74"/>
    <w:rsid w:val="252C160A"/>
    <w:rsid w:val="25376E7E"/>
    <w:rsid w:val="255C7F84"/>
    <w:rsid w:val="25F819F1"/>
    <w:rsid w:val="282028E2"/>
    <w:rsid w:val="286D3BB5"/>
    <w:rsid w:val="291F64B0"/>
    <w:rsid w:val="2982053A"/>
    <w:rsid w:val="29FC4B88"/>
    <w:rsid w:val="2ADE699B"/>
    <w:rsid w:val="2BCE1D43"/>
    <w:rsid w:val="2C3309BF"/>
    <w:rsid w:val="2C83037C"/>
    <w:rsid w:val="2D3F6977"/>
    <w:rsid w:val="2EA72378"/>
    <w:rsid w:val="2EEF3740"/>
    <w:rsid w:val="2F316D34"/>
    <w:rsid w:val="2F777302"/>
    <w:rsid w:val="311444DD"/>
    <w:rsid w:val="31277DD9"/>
    <w:rsid w:val="3146383D"/>
    <w:rsid w:val="31CE058C"/>
    <w:rsid w:val="32492A04"/>
    <w:rsid w:val="324B16BE"/>
    <w:rsid w:val="33793410"/>
    <w:rsid w:val="338243F5"/>
    <w:rsid w:val="33DE48E0"/>
    <w:rsid w:val="341E030F"/>
    <w:rsid w:val="342C51D9"/>
    <w:rsid w:val="347E05E5"/>
    <w:rsid w:val="34A30657"/>
    <w:rsid w:val="350B6C92"/>
    <w:rsid w:val="35212064"/>
    <w:rsid w:val="354F0A84"/>
    <w:rsid w:val="355C7CAE"/>
    <w:rsid w:val="35AD34FD"/>
    <w:rsid w:val="35B3031E"/>
    <w:rsid w:val="362955BA"/>
    <w:rsid w:val="367F6FEE"/>
    <w:rsid w:val="36D93A5C"/>
    <w:rsid w:val="373445A5"/>
    <w:rsid w:val="382C009E"/>
    <w:rsid w:val="383C5C44"/>
    <w:rsid w:val="393034C0"/>
    <w:rsid w:val="39682D88"/>
    <w:rsid w:val="3A377A86"/>
    <w:rsid w:val="3A926FA8"/>
    <w:rsid w:val="3A9E03B6"/>
    <w:rsid w:val="3B6A7103"/>
    <w:rsid w:val="3C6F55BE"/>
    <w:rsid w:val="3C9B708D"/>
    <w:rsid w:val="3E083493"/>
    <w:rsid w:val="3E6D7E85"/>
    <w:rsid w:val="3F5A0FB6"/>
    <w:rsid w:val="3F5A4AF6"/>
    <w:rsid w:val="404B10F6"/>
    <w:rsid w:val="4057756F"/>
    <w:rsid w:val="408924DF"/>
    <w:rsid w:val="4136428A"/>
    <w:rsid w:val="415A4B65"/>
    <w:rsid w:val="41AE78F6"/>
    <w:rsid w:val="42622FA4"/>
    <w:rsid w:val="42E44FE5"/>
    <w:rsid w:val="432B57B8"/>
    <w:rsid w:val="446C3E57"/>
    <w:rsid w:val="4493703A"/>
    <w:rsid w:val="44C04B1B"/>
    <w:rsid w:val="44D01D37"/>
    <w:rsid w:val="4549083B"/>
    <w:rsid w:val="45DF73C6"/>
    <w:rsid w:val="46080C19"/>
    <w:rsid w:val="47637084"/>
    <w:rsid w:val="476D1534"/>
    <w:rsid w:val="484664A7"/>
    <w:rsid w:val="48950A07"/>
    <w:rsid w:val="49A817B0"/>
    <w:rsid w:val="49BC22B2"/>
    <w:rsid w:val="4B6A739B"/>
    <w:rsid w:val="4BC212BD"/>
    <w:rsid w:val="4DCA4E76"/>
    <w:rsid w:val="4E7F6545"/>
    <w:rsid w:val="4E8A797A"/>
    <w:rsid w:val="4EB93A4A"/>
    <w:rsid w:val="4F243BDB"/>
    <w:rsid w:val="4F852406"/>
    <w:rsid w:val="4F9A5B07"/>
    <w:rsid w:val="50796BE0"/>
    <w:rsid w:val="51675344"/>
    <w:rsid w:val="51677507"/>
    <w:rsid w:val="51C63488"/>
    <w:rsid w:val="52F42171"/>
    <w:rsid w:val="53847FE0"/>
    <w:rsid w:val="543776D9"/>
    <w:rsid w:val="546A2608"/>
    <w:rsid w:val="553A2151"/>
    <w:rsid w:val="56093721"/>
    <w:rsid w:val="567A7CC6"/>
    <w:rsid w:val="56EC2415"/>
    <w:rsid w:val="56F14921"/>
    <w:rsid w:val="56F87E06"/>
    <w:rsid w:val="570F3D5C"/>
    <w:rsid w:val="571D1826"/>
    <w:rsid w:val="57261183"/>
    <w:rsid w:val="578B60AE"/>
    <w:rsid w:val="5975659F"/>
    <w:rsid w:val="5A9F2112"/>
    <w:rsid w:val="5B1B4051"/>
    <w:rsid w:val="5B6E4749"/>
    <w:rsid w:val="5CA77A3D"/>
    <w:rsid w:val="5CB34F3E"/>
    <w:rsid w:val="5E0B2B07"/>
    <w:rsid w:val="5E41468F"/>
    <w:rsid w:val="5EB301CF"/>
    <w:rsid w:val="5F3E66CC"/>
    <w:rsid w:val="5FDB3B2D"/>
    <w:rsid w:val="60467663"/>
    <w:rsid w:val="60AA4DC1"/>
    <w:rsid w:val="61920F04"/>
    <w:rsid w:val="61CF1AEB"/>
    <w:rsid w:val="622D3A1A"/>
    <w:rsid w:val="62696102"/>
    <w:rsid w:val="632D62D6"/>
    <w:rsid w:val="634D17E7"/>
    <w:rsid w:val="63CF6DDD"/>
    <w:rsid w:val="63DD24DE"/>
    <w:rsid w:val="63DF1F7E"/>
    <w:rsid w:val="64DA7F84"/>
    <w:rsid w:val="659B05F5"/>
    <w:rsid w:val="65AD6C6A"/>
    <w:rsid w:val="660C6946"/>
    <w:rsid w:val="67D764BD"/>
    <w:rsid w:val="68077DF9"/>
    <w:rsid w:val="68272769"/>
    <w:rsid w:val="684C4452"/>
    <w:rsid w:val="6B6366CB"/>
    <w:rsid w:val="6B933AC9"/>
    <w:rsid w:val="6B9F4571"/>
    <w:rsid w:val="6BD42D3C"/>
    <w:rsid w:val="6BEE0ED4"/>
    <w:rsid w:val="6C15170D"/>
    <w:rsid w:val="6C2A05F0"/>
    <w:rsid w:val="6CC42BC0"/>
    <w:rsid w:val="6D132D31"/>
    <w:rsid w:val="6D1E00BF"/>
    <w:rsid w:val="6D5F48E5"/>
    <w:rsid w:val="6D642C4F"/>
    <w:rsid w:val="6DC53B60"/>
    <w:rsid w:val="6E310F56"/>
    <w:rsid w:val="6E405E13"/>
    <w:rsid w:val="6E5F07A0"/>
    <w:rsid w:val="6E6A2B45"/>
    <w:rsid w:val="6E771CC8"/>
    <w:rsid w:val="6F144EAA"/>
    <w:rsid w:val="6F8048CD"/>
    <w:rsid w:val="704E08E7"/>
    <w:rsid w:val="706D4A62"/>
    <w:rsid w:val="70D2152F"/>
    <w:rsid w:val="70E3110F"/>
    <w:rsid w:val="720A5641"/>
    <w:rsid w:val="72541A86"/>
    <w:rsid w:val="73C645F7"/>
    <w:rsid w:val="73CD0149"/>
    <w:rsid w:val="73F310C6"/>
    <w:rsid w:val="752F4EFA"/>
    <w:rsid w:val="763741B8"/>
    <w:rsid w:val="76805A8C"/>
    <w:rsid w:val="76A02A80"/>
    <w:rsid w:val="76E934DE"/>
    <w:rsid w:val="77833341"/>
    <w:rsid w:val="782B6D59"/>
    <w:rsid w:val="782C26F1"/>
    <w:rsid w:val="78604D14"/>
    <w:rsid w:val="78955F18"/>
    <w:rsid w:val="791A468C"/>
    <w:rsid w:val="796C3E5E"/>
    <w:rsid w:val="7A3C530D"/>
    <w:rsid w:val="7C22412D"/>
    <w:rsid w:val="7D105B55"/>
    <w:rsid w:val="7E213D62"/>
    <w:rsid w:val="7F40044C"/>
    <w:rsid w:val="7F6132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35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99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/>
    <w:lsdException w:uiPriority="0" w:name="Plain Text"/>
    <w:lsdException w:uiPriority="0" w:name="E-mail Signature"/>
    <w:lsdException w:qFormat="1" w:unhideWhenUsed="0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semiHidden/>
    <w:qFormat/>
    <w:uiPriority w:val="99"/>
    <w:rPr>
      <w:rFonts w:cs="Times New Roman"/>
    </w:rPr>
  </w:style>
  <w:style w:type="character" w:styleId="10">
    <w:name w:val="FollowedHyperlink"/>
    <w:basedOn w:val="8"/>
    <w:unhideWhenUsed/>
    <w:qFormat/>
    <w:uiPriority w:val="99"/>
    <w:rPr>
      <w:color w:val="954F72"/>
      <w:u w:val="single"/>
    </w:rPr>
  </w:style>
  <w:style w:type="character" w:styleId="11">
    <w:name w:val="Hyperlink"/>
    <w:basedOn w:val="8"/>
    <w:unhideWhenUsed/>
    <w:qFormat/>
    <w:uiPriority w:val="99"/>
    <w:rPr>
      <w:color w:val="0563C1"/>
      <w:u w:val="single"/>
    </w:rPr>
  </w:style>
  <w:style w:type="character" w:customStyle="1" w:styleId="12">
    <w:name w:val="批注框文本 字符"/>
    <w:basedOn w:val="8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页脚 字符"/>
    <w:basedOn w:val="8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页眉 字符"/>
    <w:basedOn w:val="8"/>
    <w:link w:val="4"/>
    <w:qFormat/>
    <w:locked/>
    <w:uiPriority w:val="99"/>
    <w:rPr>
      <w:rFonts w:cs="Times New Roman"/>
      <w:sz w:val="18"/>
      <w:szCs w:val="18"/>
    </w:rPr>
  </w:style>
  <w:style w:type="paragraph" w:customStyle="1" w:styleId="15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7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8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9">
    <w:name w:val="xl6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1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2">
    <w:name w:val="xl68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6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7">
    <w:name w:val="xl7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8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9">
    <w:name w:val="xl7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30">
    <w:name w:val="xl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31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32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33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4">
    <w:name w:val="xl8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5">
    <w:name w:val="xl8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36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24"/>
    </w:rPr>
  </w:style>
  <w:style w:type="paragraph" w:customStyle="1" w:styleId="37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38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39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character" w:customStyle="1" w:styleId="40">
    <w:name w:val="font0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41">
    <w:name w:val="font1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Add:厦门市湖里区金钟路1号万达写字楼C3-1605   Tel：0592-5860771  Fax：5860770    http://www.xmyiming.com</Company>
  <Pages>4</Pages>
  <Words>988</Words>
  <Characters>1325</Characters>
  <Lines>31</Lines>
  <Paragraphs>8</Paragraphs>
  <TotalTime>9</TotalTime>
  <ScaleCrop>false</ScaleCrop>
  <LinksUpToDate>false</LinksUpToDate>
  <CharactersWithSpaces>1354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2019-12-04T06:20:00Z</dcterms:created>
  <dc:creator>111</dc:creator>
  <cp:lastModifiedBy>黄俊峰</cp:lastModifiedBy>
  <cp:lastPrinted>2014-04-29T02:10:00Z</cp:lastPrinted>
  <dcterms:modified xsi:type="dcterms:W3CDTF">2025-03-14T06:47:16Z</dcterms:modified>
  <dc:title>气体检测仪检测服务协议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479E03410E754A288495FC2B013C8742_12</vt:lpwstr>
  </property>
  <property fmtid="{D5CDD505-2E9C-101B-9397-08002B2CF9AE}" pid="4" name="KSOTemplateDocerSaveRecord">
    <vt:lpwstr>eyJoZGlkIjoiMTk0ZWQ1YWVmZmIxNjRhMDNhNTc0NDRlMjI0NjMxMzgiLCJ1c2VySWQiOiI1NjQ3ODI5MDMifQ==</vt:lpwstr>
  </property>
</Properties>
</file>