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23AC9">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黑体" w:hAnsi="黑体" w:eastAsia="黑体" w:cs="黑体"/>
          <w:b/>
          <w:bCs/>
          <w:kern w:val="0"/>
          <w:sz w:val="52"/>
          <w:szCs w:val="52"/>
        </w:rPr>
      </w:pPr>
      <w:r>
        <w:rPr>
          <w:rFonts w:hint="eastAsia" w:ascii="黑体" w:hAnsi="黑体" w:eastAsia="黑体" w:cs="黑体"/>
          <w:b/>
          <w:bCs/>
          <w:kern w:val="0"/>
          <w:sz w:val="52"/>
          <w:szCs w:val="52"/>
        </w:rPr>
        <w:t>福建省东南电化股份有限公司</w:t>
      </w:r>
    </w:p>
    <w:p w14:paraId="00FCE834">
      <w:pPr>
        <w:adjustRightInd w:val="0"/>
        <w:spacing w:line="360" w:lineRule="atLeast"/>
        <w:jc w:val="center"/>
        <w:textAlignment w:val="baseline"/>
        <w:rPr>
          <w:rFonts w:hint="eastAsia" w:ascii="黑体" w:hAnsi="黑体" w:eastAsia="黑体" w:cs="黑体"/>
          <w:b/>
          <w:bCs/>
          <w:kern w:val="0"/>
          <w:sz w:val="52"/>
          <w:szCs w:val="52"/>
        </w:rPr>
      </w:pPr>
      <w:r>
        <w:rPr>
          <w:rFonts w:hint="eastAsia" w:ascii="黑体" w:hAnsi="黑体" w:eastAsia="黑体" w:cs="黑体"/>
          <w:b/>
          <w:bCs/>
          <w:kern w:val="0"/>
          <w:sz w:val="52"/>
          <w:szCs w:val="52"/>
        </w:rPr>
        <w:t>电动汽车充电桩项目</w:t>
      </w:r>
    </w:p>
    <w:p w14:paraId="7057540E">
      <w:pPr>
        <w:adjustRightInd w:val="0"/>
        <w:spacing w:line="360" w:lineRule="atLeast"/>
        <w:jc w:val="center"/>
        <w:textAlignment w:val="baseline"/>
        <w:rPr>
          <w:rFonts w:hint="eastAsia" w:ascii="黑体" w:hAnsi="黑体" w:eastAsia="黑体" w:cs="黑体"/>
          <w:b/>
          <w:bCs/>
          <w:kern w:val="0"/>
          <w:sz w:val="52"/>
          <w:szCs w:val="52"/>
        </w:rPr>
      </w:pPr>
    </w:p>
    <w:p w14:paraId="143EEC6C">
      <w:pPr>
        <w:adjustRightInd w:val="0"/>
        <w:spacing w:line="360" w:lineRule="atLeast"/>
        <w:jc w:val="center"/>
        <w:textAlignment w:val="baseline"/>
        <w:rPr>
          <w:rFonts w:hint="eastAsia" w:ascii="黑体" w:hAnsi="黑体" w:eastAsia="黑体" w:cs="黑体"/>
          <w:b/>
          <w:bCs/>
          <w:kern w:val="0"/>
          <w:sz w:val="52"/>
          <w:szCs w:val="52"/>
        </w:rPr>
      </w:pPr>
    </w:p>
    <w:p w14:paraId="32F622D1">
      <w:pPr>
        <w:adjustRightInd w:val="0"/>
        <w:spacing w:line="360" w:lineRule="atLeast"/>
        <w:jc w:val="center"/>
        <w:textAlignment w:val="baseline"/>
        <w:rPr>
          <w:rFonts w:hint="eastAsia" w:ascii="黑体" w:hAnsi="黑体" w:eastAsia="黑体" w:cs="黑体"/>
          <w:b/>
          <w:bCs/>
          <w:kern w:val="0"/>
          <w:sz w:val="52"/>
          <w:szCs w:val="52"/>
        </w:rPr>
      </w:pPr>
    </w:p>
    <w:p w14:paraId="4314C3EB">
      <w:pPr>
        <w:adjustRightInd w:val="0"/>
        <w:spacing w:line="360" w:lineRule="atLeast"/>
        <w:jc w:val="center"/>
        <w:textAlignment w:val="baseline"/>
        <w:rPr>
          <w:rFonts w:hint="eastAsia" w:ascii="黑体" w:hAnsi="黑体" w:eastAsia="黑体" w:cs="黑体"/>
          <w:b/>
          <w:bCs/>
          <w:kern w:val="0"/>
          <w:sz w:val="52"/>
          <w:szCs w:val="52"/>
        </w:rPr>
      </w:pPr>
    </w:p>
    <w:p w14:paraId="52A05644">
      <w:pPr>
        <w:adjustRightInd w:val="0"/>
        <w:spacing w:line="360" w:lineRule="atLeast"/>
        <w:jc w:val="center"/>
        <w:textAlignment w:val="baseline"/>
        <w:rPr>
          <w:rFonts w:hint="eastAsia" w:ascii="宋体" w:hAnsi="宋体" w:eastAsia="宋体" w:cs="宋体"/>
          <w:b/>
          <w:bCs/>
          <w:sz w:val="36"/>
          <w:szCs w:val="36"/>
        </w:rPr>
      </w:pPr>
      <w:r>
        <w:rPr>
          <w:rFonts w:hint="eastAsia" w:ascii="黑体" w:hAnsi="黑体" w:eastAsia="黑体" w:cs="黑体"/>
          <w:b/>
          <w:bCs/>
          <w:kern w:val="0"/>
          <w:sz w:val="52"/>
          <w:szCs w:val="52"/>
        </w:rPr>
        <w:t>技术规范书</w:t>
      </w:r>
    </w:p>
    <w:p w14:paraId="1B901FD7">
      <w:pPr>
        <w:bidi w:val="0"/>
        <w:rPr>
          <w:rFonts w:hint="eastAsia" w:ascii="仿宋" w:hAnsi="仿宋" w:eastAsia="仿宋" w:cs="仿宋"/>
          <w:sz w:val="30"/>
          <w:szCs w:val="30"/>
        </w:rPr>
      </w:pPr>
    </w:p>
    <w:p w14:paraId="2F7404CC">
      <w:pPr>
        <w:bidi w:val="0"/>
        <w:rPr>
          <w:rFonts w:hint="eastAsia" w:ascii="仿宋" w:hAnsi="仿宋" w:eastAsia="仿宋" w:cs="仿宋"/>
          <w:sz w:val="30"/>
          <w:szCs w:val="30"/>
        </w:rPr>
      </w:pPr>
    </w:p>
    <w:p w14:paraId="504A22A5">
      <w:pPr>
        <w:bidi w:val="0"/>
        <w:rPr>
          <w:rFonts w:hint="eastAsia" w:ascii="仿宋" w:hAnsi="仿宋" w:eastAsia="仿宋" w:cs="仿宋"/>
          <w:sz w:val="30"/>
          <w:szCs w:val="30"/>
        </w:rPr>
      </w:pPr>
    </w:p>
    <w:p w14:paraId="1162E992">
      <w:pPr>
        <w:bidi w:val="0"/>
        <w:rPr>
          <w:rFonts w:hint="eastAsia" w:ascii="仿宋" w:hAnsi="仿宋" w:eastAsia="仿宋" w:cs="仿宋"/>
          <w:sz w:val="30"/>
          <w:szCs w:val="30"/>
        </w:rPr>
      </w:pPr>
    </w:p>
    <w:p w14:paraId="767D5D9E">
      <w:pPr>
        <w:bidi w:val="0"/>
        <w:rPr>
          <w:rFonts w:hint="eastAsia" w:ascii="仿宋" w:hAnsi="仿宋" w:eastAsia="仿宋" w:cs="仿宋"/>
          <w:sz w:val="30"/>
          <w:szCs w:val="30"/>
        </w:rPr>
      </w:pPr>
    </w:p>
    <w:p w14:paraId="0B9B7D90">
      <w:pPr>
        <w:bidi w:val="0"/>
        <w:rPr>
          <w:rFonts w:hint="eastAsia" w:ascii="仿宋" w:hAnsi="仿宋" w:eastAsia="仿宋" w:cs="仿宋"/>
          <w:sz w:val="30"/>
          <w:szCs w:val="30"/>
        </w:rPr>
      </w:pPr>
    </w:p>
    <w:p w14:paraId="462B1D8F">
      <w:pPr>
        <w:bidi w:val="0"/>
        <w:rPr>
          <w:rFonts w:hint="eastAsia" w:ascii="仿宋" w:hAnsi="仿宋" w:eastAsia="仿宋" w:cs="仿宋"/>
          <w:sz w:val="30"/>
          <w:szCs w:val="30"/>
        </w:rPr>
      </w:pPr>
    </w:p>
    <w:p w14:paraId="202B0109">
      <w:pPr>
        <w:bidi w:val="0"/>
        <w:rPr>
          <w:rFonts w:hint="eastAsia" w:ascii="仿宋" w:hAnsi="仿宋" w:eastAsia="仿宋" w:cs="仿宋"/>
          <w:sz w:val="30"/>
          <w:szCs w:val="30"/>
        </w:rPr>
      </w:pPr>
    </w:p>
    <w:p w14:paraId="3F1CDF29">
      <w:pPr>
        <w:bidi w:val="0"/>
        <w:rPr>
          <w:rFonts w:hint="eastAsia" w:ascii="仿宋" w:hAnsi="仿宋" w:eastAsia="仿宋" w:cs="仿宋"/>
          <w:sz w:val="30"/>
          <w:szCs w:val="30"/>
        </w:rPr>
      </w:pPr>
    </w:p>
    <w:p w14:paraId="38AF7FC1">
      <w:pPr>
        <w:adjustRightInd w:val="0"/>
        <w:spacing w:line="360" w:lineRule="atLeast"/>
        <w:jc w:val="center"/>
        <w:textAlignment w:val="baseline"/>
      </w:pPr>
    </w:p>
    <w:p w14:paraId="244BB59A">
      <w:pPr>
        <w:adjustRightInd w:val="0"/>
        <w:spacing w:line="360" w:lineRule="atLeast"/>
        <w:jc w:val="center"/>
        <w:textAlignment w:val="baseline"/>
        <w:rPr>
          <w:rFonts w:hint="eastAsia" w:ascii="黑体" w:hAnsi="黑体" w:eastAsia="黑体" w:cs="黑体"/>
          <w:b/>
          <w:bCs/>
          <w:kern w:val="0"/>
          <w:sz w:val="44"/>
          <w:szCs w:val="44"/>
          <w:lang w:val="en-US" w:eastAsia="zh-CN"/>
        </w:rPr>
      </w:pPr>
      <w:r>
        <w:rPr>
          <w:rFonts w:hint="eastAsia" w:ascii="黑体" w:hAnsi="黑体" w:eastAsia="黑体" w:cs="黑体"/>
          <w:b/>
          <w:bCs/>
          <w:kern w:val="0"/>
          <w:sz w:val="44"/>
          <w:szCs w:val="44"/>
          <w:lang w:val="en-US" w:eastAsia="zh-CN"/>
        </w:rPr>
        <w:t xml:space="preserve">2025 年 </w:t>
      </w:r>
      <w:r>
        <w:rPr>
          <w:rFonts w:hint="default" w:ascii="黑体" w:hAnsi="黑体" w:eastAsia="黑体" w:cs="黑体"/>
          <w:b/>
          <w:bCs/>
          <w:kern w:val="0"/>
          <w:sz w:val="44"/>
          <w:szCs w:val="44"/>
          <w:lang w:val="en-US" w:eastAsia="zh-CN"/>
        </w:rPr>
        <w:t>0</w:t>
      </w:r>
      <w:r>
        <w:rPr>
          <w:rFonts w:hint="eastAsia" w:ascii="黑体" w:hAnsi="黑体" w:eastAsia="黑体" w:cs="黑体"/>
          <w:b/>
          <w:bCs/>
          <w:kern w:val="0"/>
          <w:sz w:val="44"/>
          <w:szCs w:val="44"/>
          <w:lang w:val="en-US" w:eastAsia="zh-CN"/>
        </w:rPr>
        <w:t>7</w:t>
      </w:r>
      <w:r>
        <w:rPr>
          <w:rFonts w:hint="default" w:ascii="黑体" w:hAnsi="黑体" w:eastAsia="黑体" w:cs="黑体"/>
          <w:b/>
          <w:bCs/>
          <w:kern w:val="0"/>
          <w:sz w:val="44"/>
          <w:szCs w:val="44"/>
          <w:lang w:val="en-US" w:eastAsia="zh-CN"/>
        </w:rPr>
        <w:t xml:space="preserve"> </w:t>
      </w:r>
      <w:r>
        <w:rPr>
          <w:rFonts w:hint="eastAsia" w:ascii="黑体" w:hAnsi="黑体" w:eastAsia="黑体" w:cs="黑体"/>
          <w:b/>
          <w:bCs/>
          <w:kern w:val="0"/>
          <w:sz w:val="44"/>
          <w:szCs w:val="44"/>
          <w:lang w:val="en-US" w:eastAsia="zh-CN"/>
        </w:rPr>
        <w:t>月 01</w:t>
      </w:r>
      <w:r>
        <w:rPr>
          <w:rFonts w:hint="default" w:ascii="黑体" w:hAnsi="黑体" w:eastAsia="黑体" w:cs="黑体"/>
          <w:b/>
          <w:bCs/>
          <w:kern w:val="0"/>
          <w:sz w:val="44"/>
          <w:szCs w:val="44"/>
          <w:lang w:val="en-US" w:eastAsia="zh-CN"/>
        </w:rPr>
        <w:t xml:space="preserve"> </w:t>
      </w:r>
      <w:r>
        <w:rPr>
          <w:rFonts w:hint="eastAsia" w:ascii="黑体" w:hAnsi="黑体" w:eastAsia="黑体" w:cs="黑体"/>
          <w:b/>
          <w:bCs/>
          <w:kern w:val="0"/>
          <w:sz w:val="44"/>
          <w:szCs w:val="44"/>
          <w:lang w:val="en-US" w:eastAsia="zh-CN"/>
        </w:rPr>
        <w:t>日</w:t>
      </w:r>
    </w:p>
    <w:p w14:paraId="39404A64">
      <w:pPr>
        <w:adjustRightInd w:val="0"/>
        <w:spacing w:line="360" w:lineRule="atLeast"/>
        <w:jc w:val="center"/>
        <w:textAlignment w:val="baseline"/>
        <w:rPr>
          <w:rFonts w:hint="eastAsia" w:ascii="黑体" w:hAnsi="黑体" w:eastAsia="黑体" w:cs="黑体"/>
          <w:b/>
          <w:bCs/>
          <w:kern w:val="0"/>
          <w:sz w:val="44"/>
          <w:szCs w:val="44"/>
          <w:lang w:val="en-US" w:eastAsia="zh-CN"/>
        </w:rPr>
      </w:pPr>
    </w:p>
    <w:p w14:paraId="50D7BA38">
      <w:pPr>
        <w:spacing w:line="360" w:lineRule="auto"/>
        <w:rPr>
          <w:rFonts w:hint="eastAsia"/>
        </w:rPr>
      </w:pPr>
      <w:bookmarkStart w:id="0" w:name="_Toc529979650"/>
      <w:r>
        <w:rPr>
          <w:rFonts w:hint="eastAsia" w:ascii="宋体" w:hAnsi="宋体" w:cs="宋体"/>
          <w:b/>
          <w:bCs/>
          <w:snapToGrid w:val="0"/>
          <w:color w:val="000000"/>
          <w:sz w:val="28"/>
          <w:szCs w:val="28"/>
        </w:rPr>
        <w:t>1 总则</w:t>
      </w:r>
      <w:bookmarkEnd w:id="0"/>
    </w:p>
    <w:p w14:paraId="3D522C1B">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1.1 本</w:t>
      </w:r>
      <w:r>
        <w:rPr>
          <w:rFonts w:hint="eastAsia" w:ascii="宋体" w:hAnsi="宋体" w:eastAsia="宋体" w:cs="宋体"/>
          <w:color w:val="000000"/>
          <w:sz w:val="24"/>
          <w:szCs w:val="24"/>
          <w:lang w:eastAsia="zh-CN"/>
        </w:rPr>
        <w:t>规格</w:t>
      </w:r>
      <w:r>
        <w:rPr>
          <w:rFonts w:hint="eastAsia" w:ascii="宋体" w:hAnsi="宋体" w:eastAsia="宋体" w:cs="宋体"/>
          <w:color w:val="000000"/>
          <w:sz w:val="24"/>
          <w:szCs w:val="24"/>
        </w:rPr>
        <w:t>书适用于福建省东南电化股份有限公司</w:t>
      </w:r>
      <w:r>
        <w:rPr>
          <w:rFonts w:hint="eastAsia" w:ascii="宋体" w:hAnsi="宋体" w:eastAsia="宋体" w:cs="宋体"/>
          <w:color w:val="000000"/>
          <w:sz w:val="24"/>
          <w:szCs w:val="24"/>
          <w:lang w:val="en-US" w:eastAsia="zh-CN"/>
        </w:rPr>
        <w:t>厂前区停车场电动汽车充电桩安装项目，涵盖设计、设备选型、施工安装、调试运行及售后服务等全流程技术要求。</w:t>
      </w:r>
    </w:p>
    <w:p w14:paraId="649B2B12">
      <w:pPr>
        <w:keepNext w:val="0"/>
        <w:keepLines w:val="0"/>
        <w:pageBreakBefore w:val="0"/>
        <w:widowControl w:val="0"/>
        <w:kinsoku/>
        <w:wordWrap/>
        <w:overflowPunct/>
        <w:topLinePunct w:val="0"/>
        <w:autoSpaceDE/>
        <w:autoSpaceDN/>
        <w:bidi w:val="0"/>
        <w:adjustRightIn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1.2 本</w:t>
      </w:r>
      <w:r>
        <w:rPr>
          <w:rFonts w:hint="eastAsia" w:ascii="宋体" w:hAnsi="宋体" w:eastAsia="宋体" w:cs="宋体"/>
          <w:color w:val="000000"/>
          <w:sz w:val="24"/>
          <w:szCs w:val="24"/>
          <w:lang w:eastAsia="zh-CN"/>
        </w:rPr>
        <w:t>规格</w:t>
      </w:r>
      <w:r>
        <w:rPr>
          <w:rFonts w:hint="eastAsia" w:ascii="宋体" w:hAnsi="宋体" w:eastAsia="宋体" w:cs="宋体"/>
          <w:color w:val="000000"/>
          <w:sz w:val="24"/>
          <w:szCs w:val="24"/>
        </w:rPr>
        <w:t>书提出的是最低限度的技术要求，并未对一切技术细节作出规定，也未充分引述有关标准和规范的条文，投标方在项目所涉及的各项规程、规范和标准必须遵循现行最新版本的中国国家标准。本技术规范书所使用的标准如遇与投标方所执行的标准发生矛盾时，应按较高标准执行。</w:t>
      </w:r>
    </w:p>
    <w:p w14:paraId="4D5751B5">
      <w:pPr>
        <w:keepNext w:val="0"/>
        <w:keepLines w:val="0"/>
        <w:pageBreakBefore w:val="0"/>
        <w:widowControl w:val="0"/>
        <w:kinsoku/>
        <w:wordWrap/>
        <w:overflowPunct/>
        <w:topLinePunct w:val="0"/>
        <w:autoSpaceDE/>
        <w:autoSpaceDN/>
        <w:bidi w:val="0"/>
        <w:adjustRightIn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1.3 如果投标方没有以书面形式对本规范书的条文提出异议，则意味着投标方应完全符合本规范书的要求。</w:t>
      </w:r>
    </w:p>
    <w:p w14:paraId="4EE1FBFB">
      <w:pPr>
        <w:keepNext w:val="0"/>
        <w:keepLines w:val="0"/>
        <w:pageBreakBefore w:val="0"/>
        <w:widowControl w:val="0"/>
        <w:kinsoku/>
        <w:wordWrap/>
        <w:overflowPunct/>
        <w:topLinePunct w:val="0"/>
        <w:autoSpaceDE/>
        <w:autoSpaceDN/>
        <w:bidi w:val="0"/>
        <w:adjustRightIn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1.4在设备投运过程中及运行两年以内，如发生质量问题，投标方应无偿提供维修或更换。</w:t>
      </w:r>
    </w:p>
    <w:p w14:paraId="00410E81">
      <w:pPr>
        <w:keepNext w:val="0"/>
        <w:keepLines w:val="0"/>
        <w:pageBreakBefore w:val="0"/>
        <w:widowControl w:val="0"/>
        <w:kinsoku/>
        <w:wordWrap/>
        <w:overflowPunct/>
        <w:topLinePunct w:val="0"/>
        <w:autoSpaceDE/>
        <w:autoSpaceDN/>
        <w:bidi w:val="0"/>
        <w:adjustRightIn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1.5</w:t>
      </w:r>
      <w:r>
        <w:rPr>
          <w:rFonts w:hint="eastAsia" w:ascii="宋体" w:hAnsi="宋体" w:eastAsia="宋体" w:cs="宋体"/>
          <w:sz w:val="24"/>
          <w:szCs w:val="24"/>
        </w:rPr>
        <w:t>投标方应对</w:t>
      </w:r>
      <w:r>
        <w:rPr>
          <w:rFonts w:hint="eastAsia" w:ascii="宋体" w:hAnsi="宋体" w:eastAsia="宋体" w:cs="宋体"/>
          <w:sz w:val="24"/>
          <w:szCs w:val="24"/>
          <w:lang w:eastAsia="zh-CN"/>
        </w:rPr>
        <w:t>项目</w:t>
      </w:r>
      <w:r>
        <w:rPr>
          <w:rFonts w:hint="eastAsia" w:ascii="宋体" w:hAnsi="宋体" w:eastAsia="宋体" w:cs="宋体"/>
          <w:sz w:val="24"/>
          <w:szCs w:val="24"/>
        </w:rPr>
        <w:t>范围内的设备</w:t>
      </w:r>
      <w:r>
        <w:rPr>
          <w:rFonts w:hint="eastAsia" w:ascii="宋体" w:hAnsi="宋体" w:eastAsia="宋体" w:cs="宋体"/>
          <w:sz w:val="24"/>
          <w:szCs w:val="24"/>
          <w:lang w:eastAsia="zh-CN"/>
        </w:rPr>
        <w:t>及其</w:t>
      </w:r>
      <w:r>
        <w:rPr>
          <w:rFonts w:hint="eastAsia" w:ascii="宋体" w:hAnsi="宋体" w:eastAsia="宋体" w:cs="宋体"/>
          <w:sz w:val="24"/>
          <w:szCs w:val="24"/>
        </w:rPr>
        <w:t>附件</w:t>
      </w:r>
      <w:r>
        <w:rPr>
          <w:rFonts w:hint="eastAsia" w:ascii="宋体" w:hAnsi="宋体" w:eastAsia="宋体" w:cs="宋体"/>
          <w:sz w:val="24"/>
          <w:szCs w:val="24"/>
          <w:lang w:val="en-US" w:eastAsia="zh-CN"/>
        </w:rPr>
        <w:t>的功能实现</w:t>
      </w:r>
      <w:r>
        <w:rPr>
          <w:rFonts w:hint="eastAsia" w:ascii="宋体" w:hAnsi="宋体" w:eastAsia="宋体" w:cs="宋体"/>
          <w:sz w:val="24"/>
          <w:szCs w:val="24"/>
        </w:rPr>
        <w:t>负有全责</w:t>
      </w:r>
      <w:r>
        <w:rPr>
          <w:rFonts w:hint="eastAsia" w:ascii="宋体" w:hAnsi="宋体" w:eastAsia="宋体" w:cs="宋体"/>
          <w:color w:val="000000"/>
          <w:sz w:val="24"/>
          <w:szCs w:val="24"/>
        </w:rPr>
        <w:t>。</w:t>
      </w:r>
      <w:r>
        <w:rPr>
          <w:rFonts w:hint="eastAsia" w:ascii="宋体" w:hAnsi="宋体" w:eastAsia="宋体" w:cs="宋体"/>
          <w:sz w:val="24"/>
          <w:szCs w:val="24"/>
        </w:rPr>
        <w:t>投标方没有以书面形式对本规范书条文提出异议，那么招标方可认为投标方提供的产品完全符合本技术规范书的要求</w:t>
      </w:r>
      <w:r>
        <w:rPr>
          <w:rFonts w:hint="eastAsia" w:ascii="宋体" w:hAnsi="宋体" w:eastAsia="宋体" w:cs="宋体"/>
          <w:sz w:val="24"/>
          <w:szCs w:val="24"/>
          <w:lang w:eastAsia="zh-CN"/>
        </w:rPr>
        <w:t>。</w:t>
      </w:r>
    </w:p>
    <w:p w14:paraId="37A21019">
      <w:pPr>
        <w:keepNext w:val="0"/>
        <w:keepLines w:val="0"/>
        <w:pageBreakBefore w:val="0"/>
        <w:widowControl w:val="0"/>
        <w:kinsoku/>
        <w:wordWrap/>
        <w:overflowPunct/>
        <w:topLinePunct w:val="0"/>
        <w:autoSpaceDE/>
        <w:autoSpaceDN/>
        <w:bidi w:val="0"/>
        <w:adjustRightInd w:val="0"/>
        <w:spacing w:line="360" w:lineRule="auto"/>
        <w:textAlignment w:val="baseline"/>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1.6投标方必须具备独立法人资格、具备有效的企业法人营业执照</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具备建设行政主管部门颁发的有效《施工企业安全生产许可证》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住房和城乡建设主管部门颁发的建筑机电安装工程专业承包</w:t>
      </w:r>
      <w:r>
        <w:rPr>
          <w:rFonts w:hint="eastAsia" w:ascii="宋体" w:hAnsi="宋体" w:eastAsia="宋体" w:cs="宋体"/>
          <w:color w:val="000000"/>
          <w:sz w:val="24"/>
          <w:szCs w:val="24"/>
          <w:lang w:val="en-US" w:eastAsia="zh-CN"/>
        </w:rPr>
        <w:t>或电力工程施工总承包叁级</w:t>
      </w:r>
      <w:r>
        <w:rPr>
          <w:rFonts w:hint="eastAsia" w:ascii="宋体" w:hAnsi="宋体" w:eastAsia="宋体" w:cs="宋体"/>
          <w:color w:val="000000"/>
          <w:sz w:val="24"/>
          <w:szCs w:val="24"/>
        </w:rPr>
        <w:t>及以上资质。具备有效的承装（修、试）电力设施许可证，</w:t>
      </w:r>
      <w:r>
        <w:rPr>
          <w:rFonts w:hint="eastAsia" w:ascii="宋体" w:hAnsi="宋体" w:eastAsia="宋体" w:cs="宋体"/>
          <w:color w:val="000000"/>
          <w:sz w:val="24"/>
          <w:szCs w:val="24"/>
          <w:lang w:eastAsia="zh-CN"/>
        </w:rPr>
        <w:t>其中许可类别和等级要求为承试五级及以上资质。</w:t>
      </w:r>
      <w:r>
        <w:rPr>
          <w:rFonts w:hint="eastAsia" w:ascii="宋体" w:hAnsi="宋体" w:eastAsia="宋体" w:cs="宋体"/>
          <w:color w:val="000000"/>
          <w:sz w:val="24"/>
          <w:szCs w:val="24"/>
        </w:rPr>
        <w:t>投标方具备近 3 年至少 3 个类似充电桩项目业绩（提供合同复印件，包含服务范围、签订时间、甲乙双方盖章页）。</w:t>
      </w:r>
    </w:p>
    <w:p w14:paraId="0DC32612">
      <w:pPr>
        <w:keepNext w:val="0"/>
        <w:keepLines w:val="0"/>
        <w:pageBreakBefore w:val="0"/>
        <w:widowControl w:val="0"/>
        <w:kinsoku/>
        <w:wordWrap/>
        <w:overflowPunct/>
        <w:topLinePunct w:val="0"/>
        <w:autoSpaceDE/>
        <w:autoSpaceDN/>
        <w:bidi w:val="0"/>
        <w:adjustRightInd w:val="0"/>
        <w:spacing w:line="360" w:lineRule="auto"/>
        <w:textAlignment w:val="baseline"/>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1.7</w:t>
      </w:r>
      <w:r>
        <w:rPr>
          <w:rFonts w:hint="eastAsia" w:ascii="宋体" w:hAnsi="宋体" w:eastAsia="宋体" w:cs="宋体"/>
          <w:color w:val="000000"/>
          <w:sz w:val="24"/>
          <w:szCs w:val="24"/>
          <w:highlight w:val="none"/>
        </w:rPr>
        <w:t>投标方应通过ISO9001质量管理体系认证；通过ISO14001环境管理体系认证；通过GB/T28001职业健康安全管理体系认证或（OSHMS）职业安全健康管理体系认证。</w:t>
      </w:r>
    </w:p>
    <w:p w14:paraId="5778808A">
      <w:pPr>
        <w:keepNext w:val="0"/>
        <w:keepLines w:val="0"/>
        <w:pageBreakBefore w:val="0"/>
        <w:widowControl w:val="0"/>
        <w:kinsoku/>
        <w:wordWrap/>
        <w:overflowPunct/>
        <w:topLinePunct w:val="0"/>
        <w:autoSpaceDE/>
        <w:autoSpaceDN/>
        <w:bidi w:val="0"/>
        <w:adjustRightIn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信用要求：未被列入失信被执行人、重大税收违法案件当事人名单，提供 “信用中国” 网站查询截图。</w:t>
      </w:r>
    </w:p>
    <w:p w14:paraId="17F93E17">
      <w:pPr>
        <w:keepNext w:val="0"/>
        <w:keepLines w:val="0"/>
        <w:pageBreakBefore w:val="0"/>
        <w:widowControl w:val="0"/>
        <w:kinsoku/>
        <w:wordWrap/>
        <w:overflowPunct/>
        <w:topLinePunct w:val="0"/>
        <w:autoSpaceDE/>
        <w:autoSpaceDN/>
        <w:bidi w:val="0"/>
        <w:adjustRightIn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1.8本</w:t>
      </w:r>
      <w:r>
        <w:rPr>
          <w:rFonts w:hint="eastAsia" w:ascii="宋体" w:hAnsi="宋体" w:eastAsia="宋体" w:cs="宋体"/>
          <w:color w:val="000000"/>
          <w:sz w:val="24"/>
          <w:szCs w:val="24"/>
          <w:lang w:eastAsia="zh-CN"/>
        </w:rPr>
        <w:t>规格</w:t>
      </w:r>
      <w:r>
        <w:rPr>
          <w:rFonts w:hint="eastAsia" w:ascii="宋体" w:hAnsi="宋体" w:eastAsia="宋体" w:cs="宋体"/>
          <w:color w:val="000000"/>
          <w:sz w:val="24"/>
          <w:szCs w:val="24"/>
        </w:rPr>
        <w:t>书经招、投双方确认后作为订货合同的技术附件，与合同正文具有同等效力。</w:t>
      </w:r>
    </w:p>
    <w:p w14:paraId="30EBC0E9">
      <w:pPr>
        <w:adjustRightInd w:val="0"/>
        <w:spacing w:line="360" w:lineRule="atLeast"/>
        <w:jc w:val="center"/>
        <w:textAlignment w:val="baseline"/>
        <w:rPr>
          <w:rFonts w:hint="eastAsia" w:ascii="黑体" w:hAnsi="黑体" w:eastAsia="黑体" w:cs="黑体"/>
          <w:b/>
          <w:bCs/>
          <w:kern w:val="0"/>
          <w:sz w:val="44"/>
          <w:szCs w:val="44"/>
          <w:lang w:val="en-US" w:eastAsia="zh-CN"/>
        </w:rPr>
      </w:pPr>
    </w:p>
    <w:p w14:paraId="216D2044"/>
    <w:p w14:paraId="0C08EE41"/>
    <w:p w14:paraId="46799356"/>
    <w:p w14:paraId="7CEE9384"/>
    <w:p w14:paraId="74914FDA">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b/>
          <w:bCs/>
          <w:snapToGrid w:val="0"/>
          <w:color w:val="000000"/>
          <w:sz w:val="28"/>
          <w:szCs w:val="28"/>
          <w:lang w:val="en-US" w:eastAsia="zh-CN"/>
        </w:rPr>
      </w:pPr>
      <w:bookmarkStart w:id="1" w:name="_Toc161671619"/>
      <w:bookmarkStart w:id="2" w:name="_Toc529979651"/>
      <w:bookmarkStart w:id="3" w:name="_Toc135995351"/>
      <w:r>
        <w:rPr>
          <w:rFonts w:hint="eastAsia" w:ascii="宋体" w:hAnsi="宋体" w:eastAsia="宋体" w:cs="宋体"/>
          <w:b/>
          <w:bCs/>
          <w:snapToGrid w:val="0"/>
          <w:color w:val="000000"/>
          <w:sz w:val="28"/>
          <w:szCs w:val="28"/>
        </w:rPr>
        <w:t xml:space="preserve">2 </w:t>
      </w:r>
      <w:bookmarkEnd w:id="1"/>
      <w:bookmarkEnd w:id="2"/>
      <w:bookmarkEnd w:id="3"/>
      <w:r>
        <w:rPr>
          <w:rFonts w:hint="eastAsia" w:ascii="宋体" w:hAnsi="宋体" w:eastAsia="宋体" w:cs="宋体"/>
          <w:b/>
          <w:bCs/>
          <w:snapToGrid w:val="0"/>
          <w:color w:val="000000"/>
          <w:sz w:val="28"/>
          <w:szCs w:val="28"/>
          <w:lang w:eastAsia="zh-CN"/>
        </w:rPr>
        <w:t>项目</w:t>
      </w:r>
      <w:r>
        <w:rPr>
          <w:rFonts w:hint="eastAsia" w:ascii="宋体" w:hAnsi="宋体" w:eastAsia="宋体" w:cs="宋体"/>
          <w:b/>
          <w:bCs/>
          <w:snapToGrid w:val="0"/>
          <w:color w:val="000000"/>
          <w:sz w:val="28"/>
          <w:szCs w:val="28"/>
          <w:lang w:val="en-US" w:eastAsia="zh-CN"/>
        </w:rPr>
        <w:t>概况</w:t>
      </w:r>
    </w:p>
    <w:p w14:paraId="2A3B65AF">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2.1项目概述</w:t>
      </w:r>
    </w:p>
    <w:p w14:paraId="0EE3BD49">
      <w:pPr>
        <w:bidi w:val="0"/>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建设目标：在厂前区停车场建设 24 个充电车位（8 个快充车位、16 个慢充车位），配置 800kVA 箱式变电站及配套充电设备，实现智能化充电管理。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箱式配电站配置，是铜是铝，能耗等级，品牌）</w:t>
      </w:r>
    </w:p>
    <w:p w14:paraId="4017088F">
      <w:pPr>
        <w:bidi w:val="0"/>
        <w:ind w:firstLine="600" w:firstLineChars="200"/>
        <w:rPr>
          <w:rFonts w:hint="eastAsia" w:ascii="仿宋" w:hAnsi="仿宋" w:eastAsia="仿宋" w:cs="仿宋"/>
          <w:sz w:val="30"/>
          <w:szCs w:val="30"/>
        </w:rPr>
      </w:pPr>
      <w:r>
        <w:rPr>
          <w:rFonts w:hint="eastAsia" w:ascii="仿宋" w:hAnsi="仿宋" w:eastAsia="仿宋" w:cs="仿宋"/>
          <w:sz w:val="30"/>
          <w:szCs w:val="30"/>
        </w:rPr>
        <w:t>项目内容：包括箱变安装、充电桩设备采购、线缆敷设、基础施工、系统调试及运维服务。</w:t>
      </w:r>
    </w:p>
    <w:p w14:paraId="0BE34ABF">
      <w:pPr>
        <w:bidi w:val="0"/>
        <w:rPr>
          <w:rFonts w:hint="default" w:ascii="宋体" w:hAnsi="宋体" w:cs="宋体"/>
          <w:b/>
          <w:bCs/>
          <w:snapToGrid w:val="0"/>
          <w:color w:val="000000"/>
          <w:sz w:val="28"/>
          <w:szCs w:val="28"/>
          <w:lang w:val="en-US" w:eastAsia="zh-CN"/>
        </w:rPr>
      </w:pPr>
      <w:bookmarkStart w:id="4" w:name="_Toc529979652"/>
      <w:r>
        <w:rPr>
          <w:rFonts w:hint="eastAsia" w:ascii="宋体" w:hAnsi="宋体" w:cs="宋体"/>
          <w:b/>
          <w:bCs/>
          <w:snapToGrid w:val="0"/>
          <w:color w:val="000000"/>
          <w:sz w:val="28"/>
          <w:szCs w:val="28"/>
        </w:rPr>
        <w:t xml:space="preserve">3 </w:t>
      </w:r>
      <w:bookmarkEnd w:id="4"/>
      <w:r>
        <w:rPr>
          <w:rFonts w:hint="eastAsia" w:ascii="宋体" w:hAnsi="宋体" w:cs="宋体"/>
          <w:b/>
          <w:bCs/>
          <w:snapToGrid w:val="0"/>
          <w:color w:val="000000"/>
          <w:sz w:val="28"/>
          <w:szCs w:val="28"/>
          <w:lang w:val="en-US" w:eastAsia="zh-CN"/>
        </w:rPr>
        <w:t>项目范围和供货范围</w:t>
      </w:r>
    </w:p>
    <w:p w14:paraId="40E65403">
      <w:pPr>
        <w:bidi w:val="0"/>
        <w:rPr>
          <w:rFonts w:hint="eastAsia" w:ascii="仿宋" w:hAnsi="仿宋" w:eastAsia="仿宋" w:cs="仿宋"/>
          <w:sz w:val="30"/>
          <w:szCs w:val="30"/>
        </w:rPr>
      </w:pPr>
      <w:r>
        <w:rPr>
          <w:rFonts w:hint="eastAsia" w:ascii="仿宋" w:hAnsi="仿宋" w:eastAsia="仿宋" w:cs="仿宋"/>
          <w:sz w:val="30"/>
          <w:szCs w:val="30"/>
          <w:lang w:val="en-US" w:eastAsia="zh-CN"/>
        </w:rPr>
        <w:t>3.1</w:t>
      </w:r>
      <w:r>
        <w:rPr>
          <w:rFonts w:hint="eastAsia" w:ascii="宋体" w:hAnsi="宋体" w:cs="宋体"/>
          <w:b/>
          <w:bCs/>
          <w:snapToGrid w:val="0"/>
          <w:color w:val="000000"/>
          <w:sz w:val="28"/>
          <w:szCs w:val="28"/>
          <w:lang w:val="en-US" w:eastAsia="zh-CN"/>
        </w:rPr>
        <w:t>项目</w:t>
      </w:r>
      <w:r>
        <w:rPr>
          <w:rFonts w:hint="eastAsia" w:ascii="仿宋" w:hAnsi="仿宋" w:eastAsia="仿宋" w:cs="仿宋"/>
          <w:sz w:val="30"/>
          <w:szCs w:val="30"/>
        </w:rPr>
        <w:t>范围</w:t>
      </w:r>
    </w:p>
    <w:p w14:paraId="2BC11974">
      <w:p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3.1.1</w:t>
      </w:r>
      <w:r>
        <w:rPr>
          <w:rFonts w:hint="default" w:ascii="仿宋" w:hAnsi="仿宋" w:eastAsia="仿宋" w:cs="仿宋"/>
          <w:sz w:val="30"/>
          <w:szCs w:val="30"/>
          <w:lang w:val="en-US" w:eastAsia="zh-CN"/>
        </w:rPr>
        <w:t>从厂区</w:t>
      </w:r>
      <w:r>
        <w:rPr>
          <w:rFonts w:hint="eastAsia" w:ascii="仿宋" w:hAnsi="仿宋" w:eastAsia="仿宋" w:cs="仿宋"/>
          <w:sz w:val="30"/>
          <w:szCs w:val="30"/>
          <w:lang w:val="en-US" w:eastAsia="zh-CN"/>
        </w:rPr>
        <w:t>烧碱二期</w:t>
      </w:r>
      <w:r>
        <w:rPr>
          <w:rFonts w:hint="default" w:ascii="仿宋" w:hAnsi="仿宋" w:eastAsia="仿宋" w:cs="仿宋"/>
          <w:sz w:val="30"/>
          <w:szCs w:val="30"/>
          <w:lang w:val="en-US" w:eastAsia="zh-CN"/>
        </w:rPr>
        <w:t>变电所引入</w:t>
      </w:r>
      <w:r>
        <w:rPr>
          <w:rFonts w:hint="eastAsia" w:ascii="仿宋" w:hAnsi="仿宋" w:eastAsia="仿宋" w:cs="仿宋"/>
          <w:sz w:val="30"/>
          <w:szCs w:val="30"/>
          <w:lang w:val="en-US" w:eastAsia="zh-CN"/>
        </w:rPr>
        <w:t>10kV</w:t>
      </w:r>
      <w:r>
        <w:rPr>
          <w:rFonts w:hint="default" w:ascii="仿宋" w:hAnsi="仿宋" w:eastAsia="仿宋" w:cs="仿宋"/>
          <w:sz w:val="30"/>
          <w:szCs w:val="30"/>
          <w:lang w:val="en-US" w:eastAsia="zh-CN"/>
        </w:rPr>
        <w:t>高压电源至 800kVA 箱式，高压电缆</w:t>
      </w:r>
      <w:r>
        <w:rPr>
          <w:rFonts w:hint="eastAsia" w:ascii="仿宋" w:hAnsi="仿宋" w:eastAsia="仿宋" w:cs="仿宋"/>
          <w:sz w:val="30"/>
          <w:szCs w:val="30"/>
          <w:lang w:val="en-US" w:eastAsia="zh-CN"/>
        </w:rPr>
        <w:t>采购、敷设、安装、试验由招标方负责；箱式变就位、安装、试验和调试，以及配电系统的安装调试由投标方负责。</w:t>
      </w:r>
    </w:p>
    <w:p w14:paraId="12C5F160">
      <w:pPr>
        <w:bidi w:val="0"/>
        <w:rPr>
          <w:rFonts w:hint="eastAsia" w:ascii="仿宋" w:hAnsi="仿宋" w:eastAsia="仿宋" w:cs="仿宋"/>
          <w:sz w:val="30"/>
          <w:szCs w:val="30"/>
        </w:rPr>
      </w:pPr>
      <w:r>
        <w:rPr>
          <w:rFonts w:hint="eastAsia" w:ascii="仿宋" w:hAnsi="仿宋" w:eastAsia="仿宋" w:cs="仿宋"/>
          <w:sz w:val="30"/>
          <w:szCs w:val="30"/>
          <w:lang w:val="en-US" w:eastAsia="zh-CN"/>
        </w:rPr>
        <w:t>3.1.2本项目设计（含土建部分）由投标方负责。</w:t>
      </w:r>
      <w:r>
        <w:rPr>
          <w:rFonts w:hint="eastAsia" w:ascii="仿宋" w:hAnsi="仿宋" w:eastAsia="仿宋" w:cs="仿宋"/>
          <w:sz w:val="30"/>
          <w:szCs w:val="30"/>
        </w:rPr>
        <w:t>终端充电</w:t>
      </w:r>
      <w:r>
        <w:rPr>
          <w:rFonts w:hint="eastAsia" w:ascii="仿宋" w:hAnsi="仿宋" w:eastAsia="仿宋" w:cs="仿宋"/>
          <w:sz w:val="30"/>
          <w:szCs w:val="30"/>
          <w:lang w:val="en-US" w:eastAsia="zh-CN"/>
        </w:rPr>
        <w:t>系统</w:t>
      </w:r>
      <w:r>
        <w:rPr>
          <w:rFonts w:hint="eastAsia" w:ascii="仿宋" w:hAnsi="仿宋" w:eastAsia="仿宋" w:cs="仿宋"/>
          <w:sz w:val="30"/>
          <w:szCs w:val="30"/>
        </w:rPr>
        <w:t>（含 480kW 分体式直流充电桩、7kW 交流充电桩）的</w:t>
      </w:r>
      <w:r>
        <w:rPr>
          <w:rFonts w:hint="eastAsia" w:ascii="仿宋" w:hAnsi="仿宋" w:eastAsia="仿宋" w:cs="仿宋"/>
          <w:sz w:val="30"/>
          <w:szCs w:val="30"/>
          <w:lang w:val="en-US" w:eastAsia="zh-CN"/>
        </w:rPr>
        <w:t>供货</w:t>
      </w:r>
      <w:r>
        <w:rPr>
          <w:rFonts w:hint="eastAsia" w:ascii="仿宋" w:hAnsi="仿宋" w:eastAsia="仿宋" w:cs="仿宋"/>
          <w:sz w:val="30"/>
          <w:szCs w:val="30"/>
        </w:rPr>
        <w:t>、安装及调试</w:t>
      </w:r>
      <w:r>
        <w:rPr>
          <w:rFonts w:hint="eastAsia" w:ascii="仿宋" w:hAnsi="仿宋" w:eastAsia="仿宋" w:cs="仿宋"/>
          <w:sz w:val="30"/>
          <w:szCs w:val="30"/>
          <w:lang w:val="en-US" w:eastAsia="zh-CN"/>
        </w:rPr>
        <w:t>由投标方负责</w:t>
      </w:r>
      <w:r>
        <w:rPr>
          <w:rFonts w:hint="eastAsia" w:ascii="仿宋" w:hAnsi="仿宋" w:eastAsia="仿宋" w:cs="仿宋"/>
          <w:sz w:val="30"/>
          <w:szCs w:val="30"/>
        </w:rPr>
        <w:t>。</w:t>
      </w:r>
    </w:p>
    <w:p w14:paraId="0B392BF7">
      <w:pPr>
        <w:bidi w:val="0"/>
        <w:rPr>
          <w:rFonts w:hint="eastAsia" w:ascii="仿宋" w:hAnsi="仿宋" w:eastAsia="仿宋" w:cs="仿宋"/>
          <w:sz w:val="30"/>
          <w:szCs w:val="30"/>
        </w:rPr>
      </w:pPr>
      <w:r>
        <w:rPr>
          <w:rFonts w:hint="eastAsia" w:ascii="仿宋" w:hAnsi="仿宋" w:eastAsia="仿宋" w:cs="仿宋"/>
          <w:sz w:val="30"/>
          <w:szCs w:val="30"/>
          <w:lang w:val="en-US" w:eastAsia="zh-CN"/>
        </w:rPr>
        <w:t>3.1.3</w:t>
      </w:r>
      <w:r>
        <w:rPr>
          <w:rFonts w:hint="eastAsia" w:ascii="仿宋" w:hAnsi="仿宋" w:eastAsia="仿宋" w:cs="仿宋"/>
          <w:sz w:val="30"/>
          <w:szCs w:val="30"/>
        </w:rPr>
        <w:t>配套基础设施建设，包括电缆敷设</w:t>
      </w:r>
      <w:r>
        <w:rPr>
          <w:rFonts w:hint="eastAsia" w:ascii="仿宋" w:hAnsi="仿宋" w:eastAsia="仿宋" w:cs="仿宋"/>
          <w:sz w:val="30"/>
          <w:szCs w:val="30"/>
          <w:lang w:val="en-US" w:eastAsia="zh-CN"/>
        </w:rPr>
        <w:t>接线</w:t>
      </w:r>
      <w:r>
        <w:rPr>
          <w:rFonts w:hint="eastAsia" w:ascii="仿宋" w:hAnsi="仿宋" w:eastAsia="仿宋" w:cs="仿宋"/>
          <w:sz w:val="30"/>
          <w:szCs w:val="30"/>
        </w:rPr>
        <w:t>、桥架安装、基础施工、防雷接地系统等</w:t>
      </w:r>
      <w:r>
        <w:rPr>
          <w:rFonts w:hint="eastAsia" w:ascii="仿宋" w:hAnsi="仿宋" w:eastAsia="仿宋" w:cs="仿宋"/>
          <w:sz w:val="30"/>
          <w:szCs w:val="30"/>
          <w:lang w:val="en-US" w:eastAsia="zh-CN"/>
        </w:rPr>
        <w:t>由投标方负责</w:t>
      </w:r>
      <w:r>
        <w:rPr>
          <w:rFonts w:hint="eastAsia" w:ascii="仿宋" w:hAnsi="仿宋" w:eastAsia="仿宋" w:cs="仿宋"/>
          <w:sz w:val="30"/>
          <w:szCs w:val="30"/>
        </w:rPr>
        <w:t>。</w:t>
      </w:r>
    </w:p>
    <w:p w14:paraId="58B55F33">
      <w:pPr>
        <w:bidi w:val="0"/>
        <w:rPr>
          <w:rFonts w:hint="eastAsia" w:ascii="仿宋" w:hAnsi="仿宋" w:eastAsia="仿宋" w:cs="仿宋"/>
          <w:sz w:val="30"/>
          <w:szCs w:val="30"/>
        </w:rPr>
      </w:pPr>
      <w:r>
        <w:rPr>
          <w:rFonts w:hint="eastAsia" w:ascii="仿宋" w:hAnsi="仿宋" w:eastAsia="仿宋" w:cs="仿宋"/>
          <w:sz w:val="30"/>
          <w:szCs w:val="30"/>
          <w:lang w:val="en-US" w:eastAsia="zh-CN"/>
        </w:rPr>
        <w:t>3.1.4</w:t>
      </w:r>
      <w:r>
        <w:rPr>
          <w:rFonts w:hint="eastAsia" w:ascii="仿宋" w:hAnsi="仿宋" w:eastAsia="仿宋" w:cs="仿宋"/>
          <w:sz w:val="30"/>
          <w:szCs w:val="30"/>
        </w:rPr>
        <w:t>智能监控系统集成，实现充电设备状态监控、数据上传及用户管理功能</w:t>
      </w:r>
      <w:r>
        <w:rPr>
          <w:rFonts w:hint="eastAsia" w:ascii="仿宋" w:hAnsi="仿宋" w:eastAsia="仿宋" w:cs="仿宋"/>
          <w:sz w:val="30"/>
          <w:szCs w:val="30"/>
          <w:lang w:val="en-US" w:eastAsia="zh-CN"/>
        </w:rPr>
        <w:t>安装、调试由投标方负责</w:t>
      </w:r>
      <w:r>
        <w:rPr>
          <w:rFonts w:hint="eastAsia" w:ascii="仿宋" w:hAnsi="仿宋" w:eastAsia="仿宋" w:cs="仿宋"/>
          <w:sz w:val="30"/>
          <w:szCs w:val="30"/>
        </w:rPr>
        <w:t>。</w:t>
      </w:r>
    </w:p>
    <w:p w14:paraId="6505D12A">
      <w:p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3.1.5项目所涉及土建由投标方负责设计，招标方负责施工。</w:t>
      </w:r>
    </w:p>
    <w:p w14:paraId="01606ECF">
      <w:pPr>
        <w:bidi w:val="0"/>
        <w:rPr>
          <w:rFonts w:hint="eastAsia" w:ascii="仿宋" w:hAnsi="仿宋" w:eastAsia="仿宋" w:cs="仿宋"/>
          <w:sz w:val="30"/>
          <w:szCs w:val="30"/>
          <w:highlight w:val="yellow"/>
        </w:rPr>
      </w:pPr>
    </w:p>
    <w:p w14:paraId="420BA3EE">
      <w:pPr>
        <w:bidi w:val="0"/>
        <w:rPr>
          <w:rFonts w:hint="eastAsia" w:ascii="仿宋" w:hAnsi="仿宋" w:eastAsia="仿宋" w:cs="仿宋"/>
          <w:sz w:val="30"/>
          <w:szCs w:val="30"/>
          <w:highlight w:val="none"/>
        </w:rPr>
      </w:pPr>
      <w:r>
        <w:rPr>
          <w:rFonts w:hint="eastAsia" w:ascii="仿宋" w:hAnsi="仿宋" w:eastAsia="仿宋" w:cs="仿宋"/>
          <w:sz w:val="30"/>
          <w:szCs w:val="30"/>
        </w:rPr>
        <w:t>箱变基础：混凝土浇筑，尺寸适配设备安装，承重≥5000kg</w:t>
      </w:r>
      <w:r>
        <w:rPr>
          <w:rFonts w:hint="eastAsia" w:ascii="仿宋" w:hAnsi="仿宋" w:eastAsia="仿宋" w:cs="仿宋"/>
          <w:sz w:val="30"/>
          <w:szCs w:val="30"/>
          <w:lang w:eastAsia="zh-CN"/>
        </w:rPr>
        <w:t>（</w:t>
      </w:r>
      <w:r>
        <w:rPr>
          <w:rFonts w:hint="eastAsia" w:ascii="仿宋" w:hAnsi="仿宋" w:eastAsia="仿宋" w:cs="仿宋"/>
          <w:sz w:val="30"/>
          <w:szCs w:val="30"/>
          <w:highlight w:val="none"/>
          <w:lang w:val="en-US" w:eastAsia="zh-CN"/>
        </w:rPr>
        <w:t>基础尺寸根据最终的生产厂家制作</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w:t>
      </w:r>
    </w:p>
    <w:p w14:paraId="73A4BF63">
      <w:pPr>
        <w:bidi w:val="0"/>
        <w:rPr>
          <w:rFonts w:hint="eastAsia" w:ascii="仿宋" w:hAnsi="仿宋" w:eastAsia="仿宋" w:cs="仿宋"/>
          <w:sz w:val="30"/>
          <w:szCs w:val="30"/>
        </w:rPr>
      </w:pPr>
      <w:r>
        <w:rPr>
          <w:rFonts w:hint="eastAsia" w:ascii="仿宋" w:hAnsi="仿宋" w:eastAsia="仿宋" w:cs="仿宋"/>
          <w:sz w:val="30"/>
          <w:szCs w:val="30"/>
          <w:lang w:val="en-US" w:eastAsia="zh-CN"/>
        </w:rPr>
        <w:t>充电堆基础：950</w:t>
      </w:r>
      <w:r>
        <w:rPr>
          <w:rFonts w:hint="eastAsia" w:ascii="仿宋" w:hAnsi="仿宋" w:eastAsia="仿宋" w:cs="仿宋"/>
          <w:sz w:val="30"/>
          <w:szCs w:val="30"/>
        </w:rPr>
        <w:t>×</w:t>
      </w:r>
      <w:r>
        <w:rPr>
          <w:rFonts w:hint="eastAsia" w:ascii="仿宋" w:hAnsi="仿宋" w:eastAsia="仿宋" w:cs="仿宋"/>
          <w:sz w:val="30"/>
          <w:szCs w:val="30"/>
          <w:lang w:val="en-US" w:eastAsia="zh-CN"/>
        </w:rPr>
        <w:t>1300</w:t>
      </w:r>
      <w:r>
        <w:rPr>
          <w:rFonts w:hint="eastAsia" w:ascii="仿宋" w:hAnsi="仿宋" w:eastAsia="仿宋" w:cs="仿宋"/>
          <w:sz w:val="30"/>
          <w:szCs w:val="30"/>
        </w:rPr>
        <w:t>×</w:t>
      </w:r>
      <w:r>
        <w:rPr>
          <w:rFonts w:hint="eastAsia" w:ascii="仿宋" w:hAnsi="仿宋" w:eastAsia="仿宋" w:cs="仿宋"/>
          <w:sz w:val="30"/>
          <w:szCs w:val="30"/>
          <w:lang w:val="en-US" w:eastAsia="zh-CN"/>
        </w:rPr>
        <w:t>700，</w:t>
      </w:r>
      <w:r>
        <w:rPr>
          <w:rFonts w:hint="eastAsia" w:ascii="仿宋" w:hAnsi="仿宋" w:eastAsia="仿宋" w:cs="仿宋"/>
          <w:sz w:val="30"/>
          <w:szCs w:val="30"/>
        </w:rPr>
        <w:t>充电桩基础：快充基础 550mm×450mm×700mm，慢充基础 350mm×300mm×400mm，表面平整防滑。</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具体尺寸根据设备厂家制作</w:t>
      </w:r>
      <w:r>
        <w:rPr>
          <w:rFonts w:hint="eastAsia" w:ascii="仿宋" w:hAnsi="仿宋" w:eastAsia="仿宋" w:cs="仿宋"/>
          <w:sz w:val="30"/>
          <w:szCs w:val="30"/>
          <w:lang w:eastAsia="zh-CN"/>
        </w:rPr>
        <w:t>）</w:t>
      </w:r>
      <w:r>
        <w:rPr>
          <w:rFonts w:hint="eastAsia" w:ascii="仿宋" w:hAnsi="仿宋" w:eastAsia="仿宋" w:cs="仿宋"/>
          <w:sz w:val="30"/>
          <w:szCs w:val="30"/>
        </w:rPr>
        <w:t>。</w:t>
      </w:r>
    </w:p>
    <w:p w14:paraId="13C1898E">
      <w:pPr>
        <w:bidi w:val="0"/>
        <w:rPr>
          <w:rFonts w:hint="default" w:ascii="仿宋" w:hAnsi="仿宋" w:eastAsia="仿宋" w:cs="仿宋"/>
          <w:sz w:val="30"/>
          <w:szCs w:val="30"/>
          <w:lang w:val="en-US" w:eastAsia="zh-CN"/>
        </w:rPr>
      </w:pPr>
      <w:r>
        <w:rPr>
          <w:rFonts w:hint="eastAsia" w:ascii="仿宋" w:hAnsi="仿宋" w:eastAsia="仿宋" w:cs="仿宋"/>
          <w:sz w:val="30"/>
          <w:szCs w:val="30"/>
        </w:rPr>
        <w:t>电缆沟与工井：600mm×600mm 电缆沟，采用混凝土浇筑，工井设置符合 GB 50026 工程测量规范。</w:t>
      </w:r>
    </w:p>
    <w:tbl>
      <w:tblPr>
        <w:tblStyle w:val="10"/>
        <w:tblpPr w:leftFromText="180" w:rightFromText="180" w:vertAnchor="text" w:horzAnchor="page" w:tblpX="2161" w:tblpY="66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05"/>
        <w:gridCol w:w="2099"/>
        <w:gridCol w:w="1814"/>
        <w:gridCol w:w="1746"/>
      </w:tblGrid>
      <w:tr w14:paraId="4ADA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1" w:hRule="atLeast"/>
          <w:tblHeader/>
        </w:trPr>
        <w:tc>
          <w:tcPr>
            <w:tcW w:w="2905" w:type="dxa"/>
            <w:tcBorders>
              <w:top w:val="nil"/>
              <w:left w:val="nil"/>
              <w:bottom w:val="nil"/>
            </w:tcBorders>
            <w:shd w:val="clear" w:color="auto" w:fill="auto"/>
            <w:tcMar>
              <w:top w:w="180" w:type="dxa"/>
              <w:left w:w="270" w:type="dxa"/>
              <w:bottom w:w="180" w:type="dxa"/>
              <w:right w:w="270" w:type="dxa"/>
            </w:tcMar>
            <w:vAlign w:val="center"/>
          </w:tcPr>
          <w:p w14:paraId="41565339">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设备名称</w:t>
            </w:r>
          </w:p>
        </w:tc>
        <w:tc>
          <w:tcPr>
            <w:tcW w:w="2099" w:type="dxa"/>
            <w:tcBorders>
              <w:top w:val="nil"/>
              <w:left w:val="nil"/>
              <w:bottom w:val="nil"/>
            </w:tcBorders>
            <w:shd w:val="clear" w:color="auto" w:fill="auto"/>
            <w:tcMar>
              <w:top w:w="180" w:type="dxa"/>
              <w:left w:w="270" w:type="dxa"/>
              <w:bottom w:w="180" w:type="dxa"/>
              <w:right w:w="270" w:type="dxa"/>
            </w:tcMar>
            <w:vAlign w:val="center"/>
          </w:tcPr>
          <w:p w14:paraId="36ECF329">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规格型号</w:t>
            </w:r>
          </w:p>
        </w:tc>
        <w:tc>
          <w:tcPr>
            <w:tcW w:w="1814" w:type="dxa"/>
            <w:tcBorders>
              <w:top w:val="nil"/>
              <w:left w:val="nil"/>
              <w:bottom w:val="nil"/>
            </w:tcBorders>
            <w:shd w:val="clear" w:color="auto" w:fill="auto"/>
            <w:tcMar>
              <w:top w:w="180" w:type="dxa"/>
              <w:left w:w="270" w:type="dxa"/>
              <w:bottom w:w="180" w:type="dxa"/>
              <w:right w:w="270" w:type="dxa"/>
            </w:tcMar>
            <w:vAlign w:val="center"/>
          </w:tcPr>
          <w:p w14:paraId="392BEBAC">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技术要求</w:t>
            </w:r>
          </w:p>
        </w:tc>
        <w:tc>
          <w:tcPr>
            <w:tcW w:w="1746" w:type="dxa"/>
            <w:tcBorders>
              <w:top w:val="nil"/>
              <w:left w:val="nil"/>
              <w:bottom w:val="nil"/>
            </w:tcBorders>
            <w:shd w:val="clear" w:color="auto" w:fill="auto"/>
            <w:tcMar>
              <w:top w:w="180" w:type="dxa"/>
              <w:left w:w="270" w:type="dxa"/>
              <w:bottom w:w="180" w:type="dxa"/>
              <w:right w:w="270" w:type="dxa"/>
            </w:tcMar>
            <w:vAlign w:val="center"/>
          </w:tcPr>
          <w:p w14:paraId="7092090F">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数量</w:t>
            </w:r>
          </w:p>
        </w:tc>
      </w:tr>
      <w:tr w14:paraId="04C0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1" w:hRule="atLeast"/>
        </w:trPr>
        <w:tc>
          <w:tcPr>
            <w:tcW w:w="2905" w:type="dxa"/>
            <w:tcBorders>
              <w:top w:val="nil"/>
              <w:left w:val="nil"/>
              <w:bottom w:val="nil"/>
            </w:tcBorders>
            <w:shd w:val="clear" w:color="auto" w:fill="auto"/>
            <w:tcMar>
              <w:top w:w="180" w:type="dxa"/>
              <w:left w:w="270" w:type="dxa"/>
              <w:bottom w:w="180" w:type="dxa"/>
              <w:right w:w="270" w:type="dxa"/>
            </w:tcMar>
            <w:vAlign w:val="center"/>
          </w:tcPr>
          <w:p w14:paraId="58E366E8">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箱式电站</w:t>
            </w:r>
          </w:p>
        </w:tc>
        <w:tc>
          <w:tcPr>
            <w:tcW w:w="2099" w:type="dxa"/>
            <w:tcBorders>
              <w:top w:val="nil"/>
              <w:left w:val="nil"/>
              <w:bottom w:val="nil"/>
            </w:tcBorders>
            <w:shd w:val="clear" w:color="auto" w:fill="auto"/>
            <w:tcMar>
              <w:top w:w="180" w:type="dxa"/>
              <w:left w:w="270" w:type="dxa"/>
              <w:bottom w:w="180" w:type="dxa"/>
              <w:right w:w="270" w:type="dxa"/>
            </w:tcMar>
            <w:vAlign w:val="center"/>
          </w:tcPr>
          <w:p w14:paraId="514A91B7">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详见4.2</w:t>
            </w:r>
          </w:p>
        </w:tc>
        <w:tc>
          <w:tcPr>
            <w:tcW w:w="1814" w:type="dxa"/>
            <w:tcBorders>
              <w:top w:val="nil"/>
              <w:left w:val="nil"/>
              <w:bottom w:val="nil"/>
            </w:tcBorders>
            <w:shd w:val="clear" w:color="auto" w:fill="auto"/>
            <w:tcMar>
              <w:top w:w="180" w:type="dxa"/>
              <w:left w:w="270" w:type="dxa"/>
              <w:bottom w:w="180" w:type="dxa"/>
              <w:right w:w="270" w:type="dxa"/>
            </w:tcMar>
            <w:vAlign w:val="center"/>
          </w:tcPr>
          <w:p w14:paraId="11CDCEA8">
            <w:pPr>
              <w:bidi w:val="0"/>
              <w:jc w:val="center"/>
              <w:rPr>
                <w:rFonts w:hint="default" w:ascii="仿宋" w:hAnsi="仿宋" w:eastAsia="仿宋" w:cs="仿宋"/>
                <w:sz w:val="28"/>
                <w:szCs w:val="28"/>
                <w:lang w:val="en-US"/>
              </w:rPr>
            </w:pPr>
            <w:r>
              <w:rPr>
                <w:rFonts w:hint="eastAsia" w:ascii="仿宋" w:hAnsi="仿宋" w:eastAsia="仿宋" w:cs="仿宋"/>
                <w:sz w:val="28"/>
                <w:szCs w:val="28"/>
                <w:highlight w:val="none"/>
                <w:lang w:val="en-US" w:eastAsia="zh-CN"/>
              </w:rPr>
              <w:t>详见4.2</w:t>
            </w:r>
          </w:p>
        </w:tc>
        <w:tc>
          <w:tcPr>
            <w:tcW w:w="1746" w:type="dxa"/>
            <w:tcBorders>
              <w:top w:val="nil"/>
              <w:left w:val="nil"/>
              <w:bottom w:val="nil"/>
            </w:tcBorders>
            <w:shd w:val="clear" w:color="auto" w:fill="auto"/>
            <w:tcMar>
              <w:top w:w="180" w:type="dxa"/>
              <w:left w:w="270" w:type="dxa"/>
              <w:bottom w:w="180" w:type="dxa"/>
              <w:right w:w="270" w:type="dxa"/>
            </w:tcMar>
            <w:vAlign w:val="center"/>
          </w:tcPr>
          <w:p w14:paraId="6ABF180F">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1套</w:t>
            </w:r>
          </w:p>
        </w:tc>
      </w:tr>
      <w:tr w14:paraId="4C270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2905" w:type="dxa"/>
            <w:tcBorders>
              <w:top w:val="nil"/>
              <w:left w:val="nil"/>
              <w:bottom w:val="nil"/>
            </w:tcBorders>
            <w:shd w:val="clear" w:color="auto" w:fill="auto"/>
            <w:tcMar>
              <w:top w:w="180" w:type="dxa"/>
              <w:left w:w="270" w:type="dxa"/>
              <w:bottom w:w="180" w:type="dxa"/>
              <w:right w:w="270" w:type="dxa"/>
            </w:tcMar>
            <w:vAlign w:val="center"/>
          </w:tcPr>
          <w:p w14:paraId="0588640F">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分体式直流充电桩</w:t>
            </w:r>
          </w:p>
        </w:tc>
        <w:tc>
          <w:tcPr>
            <w:tcW w:w="2099" w:type="dxa"/>
            <w:tcBorders>
              <w:top w:val="nil"/>
              <w:left w:val="nil"/>
              <w:bottom w:val="nil"/>
            </w:tcBorders>
            <w:shd w:val="clear" w:color="auto" w:fill="auto"/>
            <w:tcMar>
              <w:top w:w="180" w:type="dxa"/>
              <w:left w:w="270" w:type="dxa"/>
              <w:bottom w:w="180" w:type="dxa"/>
              <w:right w:w="270" w:type="dxa"/>
            </w:tcMar>
            <w:vAlign w:val="center"/>
          </w:tcPr>
          <w:p w14:paraId="50107910">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480kW</w:t>
            </w:r>
          </w:p>
        </w:tc>
        <w:tc>
          <w:tcPr>
            <w:tcW w:w="1814" w:type="dxa"/>
            <w:tcBorders>
              <w:top w:val="nil"/>
              <w:left w:val="nil"/>
              <w:bottom w:val="nil"/>
            </w:tcBorders>
            <w:shd w:val="clear" w:color="auto" w:fill="auto"/>
            <w:tcMar>
              <w:top w:w="180" w:type="dxa"/>
              <w:left w:w="270" w:type="dxa"/>
              <w:bottom w:w="180" w:type="dxa"/>
              <w:right w:w="270" w:type="dxa"/>
            </w:tcMar>
            <w:vAlign w:val="center"/>
          </w:tcPr>
          <w:p w14:paraId="3E4AA9D1">
            <w:pPr>
              <w:bidi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详见4.3</w:t>
            </w:r>
          </w:p>
        </w:tc>
        <w:tc>
          <w:tcPr>
            <w:tcW w:w="1746" w:type="dxa"/>
            <w:tcBorders>
              <w:top w:val="nil"/>
              <w:left w:val="nil"/>
              <w:bottom w:val="nil"/>
            </w:tcBorders>
            <w:shd w:val="clear" w:color="auto" w:fill="auto"/>
            <w:tcMar>
              <w:top w:w="180" w:type="dxa"/>
              <w:left w:w="270" w:type="dxa"/>
              <w:bottom w:w="180" w:type="dxa"/>
              <w:right w:w="270" w:type="dxa"/>
            </w:tcMar>
            <w:vAlign w:val="center"/>
          </w:tcPr>
          <w:p w14:paraId="23C0302B">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1套</w:t>
            </w:r>
          </w:p>
        </w:tc>
      </w:tr>
      <w:tr w14:paraId="182A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9" w:hRule="atLeast"/>
        </w:trPr>
        <w:tc>
          <w:tcPr>
            <w:tcW w:w="2905" w:type="dxa"/>
            <w:tcBorders>
              <w:top w:val="nil"/>
              <w:left w:val="nil"/>
              <w:bottom w:val="nil"/>
            </w:tcBorders>
            <w:shd w:val="clear" w:color="auto" w:fill="auto"/>
            <w:tcMar>
              <w:top w:w="180" w:type="dxa"/>
              <w:left w:w="270" w:type="dxa"/>
              <w:bottom w:w="180" w:type="dxa"/>
              <w:right w:w="270" w:type="dxa"/>
            </w:tcMar>
            <w:vAlign w:val="center"/>
          </w:tcPr>
          <w:p w14:paraId="7CC2F130">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交流充电桩</w:t>
            </w:r>
          </w:p>
        </w:tc>
        <w:tc>
          <w:tcPr>
            <w:tcW w:w="2099" w:type="dxa"/>
            <w:tcBorders>
              <w:top w:val="nil"/>
              <w:left w:val="nil"/>
              <w:bottom w:val="nil"/>
            </w:tcBorders>
            <w:shd w:val="clear" w:color="auto" w:fill="auto"/>
            <w:tcMar>
              <w:top w:w="180" w:type="dxa"/>
              <w:left w:w="270" w:type="dxa"/>
              <w:bottom w:w="180" w:type="dxa"/>
              <w:right w:w="270" w:type="dxa"/>
            </w:tcMar>
            <w:vAlign w:val="center"/>
          </w:tcPr>
          <w:p w14:paraId="759AE921">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7kW</w:t>
            </w:r>
          </w:p>
        </w:tc>
        <w:tc>
          <w:tcPr>
            <w:tcW w:w="1814" w:type="dxa"/>
            <w:tcBorders>
              <w:top w:val="nil"/>
              <w:left w:val="nil"/>
              <w:bottom w:val="nil"/>
            </w:tcBorders>
            <w:shd w:val="clear" w:color="auto" w:fill="auto"/>
            <w:tcMar>
              <w:top w:w="180" w:type="dxa"/>
              <w:left w:w="270" w:type="dxa"/>
              <w:bottom w:w="180" w:type="dxa"/>
              <w:right w:w="270" w:type="dxa"/>
            </w:tcMar>
            <w:vAlign w:val="center"/>
          </w:tcPr>
          <w:p w14:paraId="55ACEAAA">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详见4.4</w:t>
            </w:r>
          </w:p>
        </w:tc>
        <w:tc>
          <w:tcPr>
            <w:tcW w:w="1746" w:type="dxa"/>
            <w:tcBorders>
              <w:top w:val="nil"/>
              <w:left w:val="nil"/>
              <w:bottom w:val="nil"/>
            </w:tcBorders>
            <w:shd w:val="clear" w:color="auto" w:fill="auto"/>
            <w:tcMar>
              <w:top w:w="180" w:type="dxa"/>
              <w:left w:w="270" w:type="dxa"/>
              <w:bottom w:w="180" w:type="dxa"/>
              <w:right w:w="270" w:type="dxa"/>
            </w:tcMar>
            <w:vAlign w:val="center"/>
          </w:tcPr>
          <w:p w14:paraId="7652C69A">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16 台</w:t>
            </w:r>
          </w:p>
        </w:tc>
      </w:tr>
      <w:tr w14:paraId="2806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31" w:hRule="atLeast"/>
        </w:trPr>
        <w:tc>
          <w:tcPr>
            <w:tcW w:w="2905" w:type="dxa"/>
            <w:tcBorders>
              <w:top w:val="nil"/>
              <w:left w:val="nil"/>
              <w:bottom w:val="nil"/>
            </w:tcBorders>
            <w:shd w:val="clear" w:color="auto" w:fill="auto"/>
            <w:tcMar>
              <w:top w:w="180" w:type="dxa"/>
              <w:left w:w="270" w:type="dxa"/>
              <w:bottom w:w="180" w:type="dxa"/>
              <w:right w:w="270" w:type="dxa"/>
            </w:tcMar>
            <w:vAlign w:val="center"/>
          </w:tcPr>
          <w:p w14:paraId="4462BC4E">
            <w:pPr>
              <w:bidi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桥架</w:t>
            </w:r>
          </w:p>
        </w:tc>
        <w:tc>
          <w:tcPr>
            <w:tcW w:w="2099" w:type="dxa"/>
            <w:tcBorders>
              <w:top w:val="nil"/>
              <w:left w:val="nil"/>
              <w:bottom w:val="nil"/>
            </w:tcBorders>
            <w:shd w:val="clear" w:color="auto" w:fill="auto"/>
            <w:tcMar>
              <w:top w:w="180" w:type="dxa"/>
              <w:left w:w="270" w:type="dxa"/>
              <w:bottom w:w="180" w:type="dxa"/>
              <w:right w:w="270" w:type="dxa"/>
            </w:tcMar>
            <w:vAlign w:val="center"/>
          </w:tcPr>
          <w:p w14:paraId="2B73AB45">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200×100/100×100</w:t>
            </w:r>
          </w:p>
        </w:tc>
        <w:tc>
          <w:tcPr>
            <w:tcW w:w="1814" w:type="dxa"/>
            <w:tcBorders>
              <w:top w:val="nil"/>
              <w:left w:val="nil"/>
              <w:bottom w:val="nil"/>
            </w:tcBorders>
            <w:shd w:val="clear" w:color="auto" w:fill="auto"/>
            <w:tcMar>
              <w:top w:w="180" w:type="dxa"/>
              <w:left w:w="270" w:type="dxa"/>
              <w:bottom w:w="180" w:type="dxa"/>
              <w:right w:w="270" w:type="dxa"/>
            </w:tcMar>
            <w:vAlign w:val="center"/>
          </w:tcPr>
          <w:p w14:paraId="13ED855B">
            <w:pPr>
              <w:bidi w:val="0"/>
              <w:jc w:val="center"/>
              <w:rPr>
                <w:rFonts w:hint="default" w:ascii="仿宋" w:hAnsi="仿宋" w:eastAsia="仿宋" w:cs="仿宋"/>
                <w:sz w:val="28"/>
                <w:szCs w:val="28"/>
                <w:highlight w:val="yellow"/>
                <w:lang w:val="en-US" w:eastAsia="zh-CN"/>
              </w:rPr>
            </w:pPr>
            <w:r>
              <w:rPr>
                <w:rFonts w:hint="eastAsia" w:ascii="仿宋" w:hAnsi="仿宋" w:eastAsia="仿宋" w:cs="仿宋"/>
                <w:sz w:val="28"/>
                <w:szCs w:val="28"/>
                <w:highlight w:val="none"/>
                <w:lang w:val="en-US" w:eastAsia="zh-CN"/>
              </w:rPr>
              <w:t>详见5.2</w:t>
            </w:r>
          </w:p>
        </w:tc>
        <w:tc>
          <w:tcPr>
            <w:tcW w:w="1746" w:type="dxa"/>
            <w:tcBorders>
              <w:top w:val="nil"/>
              <w:left w:val="nil"/>
              <w:bottom w:val="nil"/>
            </w:tcBorders>
            <w:shd w:val="clear" w:color="auto" w:fill="auto"/>
            <w:tcMar>
              <w:top w:w="180" w:type="dxa"/>
              <w:left w:w="270" w:type="dxa"/>
              <w:bottom w:w="180" w:type="dxa"/>
              <w:right w:w="270" w:type="dxa"/>
            </w:tcMar>
            <w:vAlign w:val="center"/>
          </w:tcPr>
          <w:p w14:paraId="5A0972D0">
            <w:pPr>
              <w:bidi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视现场实际数量</w:t>
            </w:r>
          </w:p>
        </w:tc>
      </w:tr>
      <w:tr w14:paraId="6EF8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5" w:hRule="atLeast"/>
        </w:trPr>
        <w:tc>
          <w:tcPr>
            <w:tcW w:w="2905" w:type="dxa"/>
            <w:tcBorders>
              <w:top w:val="nil"/>
              <w:left w:val="nil"/>
              <w:bottom w:val="nil"/>
            </w:tcBorders>
            <w:shd w:val="clear" w:color="auto" w:fill="auto"/>
            <w:tcMar>
              <w:top w:w="180" w:type="dxa"/>
              <w:left w:w="270" w:type="dxa"/>
              <w:bottom w:w="180" w:type="dxa"/>
              <w:right w:w="270" w:type="dxa"/>
            </w:tcMar>
            <w:vAlign w:val="center"/>
          </w:tcPr>
          <w:p w14:paraId="415A82BE">
            <w:pPr>
              <w:bidi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接地材料</w:t>
            </w:r>
          </w:p>
        </w:tc>
        <w:tc>
          <w:tcPr>
            <w:tcW w:w="2099" w:type="dxa"/>
            <w:tcBorders>
              <w:top w:val="nil"/>
              <w:left w:val="nil"/>
              <w:bottom w:val="nil"/>
            </w:tcBorders>
            <w:shd w:val="clear" w:color="auto" w:fill="auto"/>
            <w:tcMar>
              <w:top w:w="180" w:type="dxa"/>
              <w:left w:w="270" w:type="dxa"/>
              <w:bottom w:w="180" w:type="dxa"/>
              <w:right w:w="270" w:type="dxa"/>
            </w:tcMar>
            <w:vAlign w:val="center"/>
          </w:tcPr>
          <w:p w14:paraId="1B3A02B5">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干路：40*4</w:t>
            </w:r>
          </w:p>
          <w:p w14:paraId="6F1521A0">
            <w:pPr>
              <w:bidi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支路：25*4</w:t>
            </w:r>
          </w:p>
        </w:tc>
        <w:tc>
          <w:tcPr>
            <w:tcW w:w="1814" w:type="dxa"/>
            <w:tcBorders>
              <w:top w:val="nil"/>
              <w:left w:val="nil"/>
              <w:bottom w:val="nil"/>
            </w:tcBorders>
            <w:shd w:val="clear" w:color="auto" w:fill="auto"/>
            <w:tcMar>
              <w:top w:w="180" w:type="dxa"/>
              <w:left w:w="270" w:type="dxa"/>
              <w:bottom w:w="180" w:type="dxa"/>
              <w:right w:w="270" w:type="dxa"/>
            </w:tcMar>
            <w:vAlign w:val="center"/>
          </w:tcPr>
          <w:p w14:paraId="3FC9C054">
            <w:pPr>
              <w:bidi w:val="0"/>
              <w:jc w:val="center"/>
              <w:rPr>
                <w:rFonts w:hint="default" w:ascii="仿宋" w:hAnsi="仿宋" w:eastAsia="仿宋" w:cs="仿宋"/>
                <w:sz w:val="28"/>
                <w:szCs w:val="28"/>
                <w:highlight w:val="yellow"/>
                <w:lang w:val="en-US" w:eastAsia="zh-CN"/>
              </w:rPr>
            </w:pPr>
            <w:r>
              <w:rPr>
                <w:rFonts w:hint="eastAsia" w:ascii="仿宋" w:hAnsi="仿宋" w:eastAsia="仿宋" w:cs="仿宋"/>
                <w:sz w:val="28"/>
                <w:szCs w:val="28"/>
                <w:highlight w:val="none"/>
                <w:lang w:val="en-US" w:eastAsia="zh-CN"/>
              </w:rPr>
              <w:t>详见5.3</w:t>
            </w:r>
          </w:p>
        </w:tc>
        <w:tc>
          <w:tcPr>
            <w:tcW w:w="1746" w:type="dxa"/>
            <w:tcBorders>
              <w:top w:val="nil"/>
              <w:left w:val="nil"/>
              <w:bottom w:val="nil"/>
            </w:tcBorders>
            <w:shd w:val="clear" w:color="auto" w:fill="auto"/>
            <w:tcMar>
              <w:top w:w="180" w:type="dxa"/>
              <w:left w:w="270" w:type="dxa"/>
              <w:bottom w:w="180" w:type="dxa"/>
              <w:right w:w="270" w:type="dxa"/>
            </w:tcMar>
            <w:vAlign w:val="center"/>
          </w:tcPr>
          <w:p w14:paraId="349CF5DD">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视现场实际数量</w:t>
            </w:r>
          </w:p>
        </w:tc>
      </w:tr>
    </w:tbl>
    <w:p w14:paraId="261664C3">
      <w:pPr>
        <w:bidi w:val="0"/>
        <w:rPr>
          <w:rFonts w:hint="eastAsia" w:ascii="仿宋" w:hAnsi="仿宋" w:eastAsia="仿宋" w:cs="仿宋"/>
          <w:sz w:val="30"/>
          <w:szCs w:val="30"/>
        </w:rPr>
      </w:pPr>
      <w:r>
        <w:rPr>
          <w:rFonts w:hint="eastAsia" w:ascii="仿宋" w:hAnsi="仿宋" w:eastAsia="仿宋" w:cs="仿宋"/>
          <w:sz w:val="30"/>
          <w:szCs w:val="30"/>
          <w:lang w:val="en-US" w:eastAsia="zh-CN"/>
        </w:rPr>
        <w:t>3.2供货范围</w:t>
      </w:r>
    </w:p>
    <w:p w14:paraId="179CF86D">
      <w:pPr>
        <w:bidi w:val="0"/>
        <w:rPr>
          <w:rFonts w:hint="eastAsia" w:ascii="仿宋" w:hAnsi="仿宋" w:eastAsia="仿宋" w:cs="仿宋"/>
          <w:sz w:val="30"/>
          <w:szCs w:val="30"/>
          <w:highlight w:val="none"/>
        </w:rPr>
      </w:pPr>
      <w:r>
        <w:rPr>
          <w:rFonts w:hint="eastAsia" w:ascii="仿宋" w:hAnsi="仿宋" w:eastAsia="仿宋" w:cs="仿宋"/>
          <w:b/>
          <w:bCs/>
          <w:sz w:val="30"/>
          <w:szCs w:val="30"/>
          <w:highlight w:val="none"/>
          <w:lang w:val="en-US" w:eastAsia="zh-CN"/>
        </w:rPr>
        <w:t>注：配电柜至充电桩的</w:t>
      </w:r>
      <w:r>
        <w:rPr>
          <w:rFonts w:hint="eastAsia" w:ascii="仿宋" w:hAnsi="仿宋" w:eastAsia="仿宋" w:cs="仿宋"/>
          <w:b/>
          <w:bCs/>
          <w:sz w:val="30"/>
          <w:szCs w:val="30"/>
          <w:highlight w:val="none"/>
        </w:rPr>
        <w:t>低压电缆：</w:t>
      </w:r>
      <w:r>
        <w:rPr>
          <w:rFonts w:hint="eastAsia" w:ascii="仿宋" w:hAnsi="仿宋" w:eastAsia="仿宋" w:cs="仿宋"/>
          <w:b/>
          <w:bCs/>
          <w:sz w:val="30"/>
          <w:szCs w:val="30"/>
          <w:highlight w:val="none"/>
          <w:lang w:val="en-US" w:eastAsia="zh-CN"/>
        </w:rPr>
        <w:t>ZC-</w:t>
      </w:r>
      <w:r>
        <w:rPr>
          <w:rFonts w:hint="eastAsia" w:ascii="仿宋" w:hAnsi="仿宋" w:eastAsia="仿宋" w:cs="仿宋"/>
          <w:b/>
          <w:bCs/>
          <w:sz w:val="30"/>
          <w:szCs w:val="30"/>
          <w:highlight w:val="none"/>
        </w:rPr>
        <w:t>YJV</w:t>
      </w:r>
      <w:r>
        <w:rPr>
          <w:rFonts w:hint="eastAsia" w:ascii="仿宋" w:hAnsi="仿宋" w:eastAsia="仿宋" w:cs="仿宋"/>
          <w:b/>
          <w:bCs/>
          <w:sz w:val="30"/>
          <w:szCs w:val="30"/>
          <w:highlight w:val="none"/>
          <w:lang w:val="en-US" w:eastAsia="zh-CN"/>
        </w:rPr>
        <w:t>22</w:t>
      </w:r>
      <w:r>
        <w:rPr>
          <w:rFonts w:hint="eastAsia" w:ascii="仿宋" w:hAnsi="仿宋" w:eastAsia="仿宋" w:cs="仿宋"/>
          <w:b/>
          <w:bCs/>
          <w:sz w:val="30"/>
          <w:szCs w:val="30"/>
          <w:highlight w:val="none"/>
        </w:rPr>
        <w:t>-0.6/1kV-4×120+1×70（</w:t>
      </w:r>
      <w:r>
        <w:rPr>
          <w:rFonts w:hint="eastAsia" w:ascii="仿宋" w:hAnsi="仿宋" w:eastAsia="仿宋" w:cs="仿宋"/>
          <w:b/>
          <w:bCs/>
          <w:sz w:val="28"/>
          <w:szCs w:val="28"/>
          <w:highlight w:val="none"/>
          <w:lang w:val="en-US" w:eastAsia="zh-CN"/>
        </w:rPr>
        <w:t>充电桩480kW</w:t>
      </w:r>
      <w:r>
        <w:rPr>
          <w:rFonts w:hint="eastAsia" w:ascii="仿宋" w:hAnsi="仿宋" w:eastAsia="仿宋" w:cs="仿宋"/>
          <w:b/>
          <w:bCs/>
          <w:sz w:val="30"/>
          <w:szCs w:val="30"/>
          <w:highlight w:val="none"/>
        </w:rPr>
        <w:t>）、</w:t>
      </w:r>
      <w:r>
        <w:rPr>
          <w:rFonts w:hint="eastAsia" w:ascii="仿宋" w:hAnsi="仿宋" w:eastAsia="仿宋" w:cs="仿宋"/>
          <w:b/>
          <w:bCs/>
          <w:sz w:val="30"/>
          <w:szCs w:val="30"/>
          <w:highlight w:val="none"/>
          <w:lang w:val="en-US" w:eastAsia="zh-CN"/>
        </w:rPr>
        <w:t>ZC-</w:t>
      </w:r>
      <w:r>
        <w:rPr>
          <w:rFonts w:hint="eastAsia" w:ascii="仿宋" w:hAnsi="仿宋" w:eastAsia="仿宋" w:cs="仿宋"/>
          <w:b/>
          <w:bCs/>
          <w:sz w:val="30"/>
          <w:szCs w:val="30"/>
          <w:highlight w:val="none"/>
        </w:rPr>
        <w:t>YJV</w:t>
      </w:r>
      <w:r>
        <w:rPr>
          <w:rFonts w:hint="eastAsia" w:ascii="仿宋" w:hAnsi="仿宋" w:eastAsia="仿宋" w:cs="仿宋"/>
          <w:b/>
          <w:bCs/>
          <w:sz w:val="30"/>
          <w:szCs w:val="30"/>
          <w:highlight w:val="none"/>
          <w:lang w:val="en-US" w:eastAsia="zh-CN"/>
        </w:rPr>
        <w:t>22</w:t>
      </w:r>
      <w:r>
        <w:rPr>
          <w:rFonts w:hint="eastAsia" w:ascii="仿宋" w:hAnsi="仿宋" w:eastAsia="仿宋" w:cs="仿宋"/>
          <w:b/>
          <w:bCs/>
          <w:sz w:val="30"/>
          <w:szCs w:val="30"/>
          <w:highlight w:val="none"/>
        </w:rPr>
        <w:t>-0.6/1kV-3×10（</w:t>
      </w:r>
      <w:r>
        <w:rPr>
          <w:rFonts w:hint="eastAsia" w:ascii="仿宋" w:hAnsi="仿宋" w:eastAsia="仿宋" w:cs="仿宋"/>
          <w:b/>
          <w:bCs/>
          <w:sz w:val="30"/>
          <w:szCs w:val="30"/>
          <w:highlight w:val="none"/>
          <w:lang w:val="en-US" w:eastAsia="zh-CN"/>
        </w:rPr>
        <w:t>充电桩7kW</w:t>
      </w:r>
      <w:r>
        <w:rPr>
          <w:rFonts w:hint="eastAsia" w:ascii="仿宋" w:hAnsi="仿宋" w:eastAsia="仿宋" w:cs="仿宋"/>
          <w:b/>
          <w:bCs/>
          <w:sz w:val="30"/>
          <w:szCs w:val="30"/>
          <w:highlight w:val="none"/>
        </w:rPr>
        <w:t>），</w:t>
      </w:r>
      <w:r>
        <w:rPr>
          <w:rFonts w:hint="eastAsia" w:ascii="仿宋" w:hAnsi="仿宋" w:eastAsia="仿宋" w:cs="仿宋"/>
          <w:b/>
          <w:bCs/>
          <w:sz w:val="30"/>
          <w:szCs w:val="30"/>
          <w:highlight w:val="none"/>
          <w:lang w:val="en-US" w:eastAsia="zh-CN"/>
        </w:rPr>
        <w:t>由招标方采购供货;箱式变电站内部所有线缆和附件均由投标方采购、供货。</w:t>
      </w:r>
    </w:p>
    <w:p w14:paraId="6C0F0D37">
      <w:pPr>
        <w:bidi w:val="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设备技术</w:t>
      </w:r>
      <w:r>
        <w:rPr>
          <w:rFonts w:hint="eastAsia" w:ascii="仿宋" w:hAnsi="仿宋" w:eastAsia="仿宋" w:cs="仿宋"/>
          <w:sz w:val="30"/>
          <w:szCs w:val="30"/>
          <w:highlight w:val="none"/>
          <w:lang w:val="en-US" w:eastAsia="zh-CN"/>
        </w:rPr>
        <w:t>要求</w:t>
      </w:r>
    </w:p>
    <w:p w14:paraId="2C46045A">
      <w:pPr>
        <w:tabs>
          <w:tab w:val="left" w:pos="580"/>
          <w:tab w:val="left" w:pos="927"/>
        </w:tabs>
        <w:adjustRightInd w:val="0"/>
        <w:snapToGrid w:val="0"/>
        <w:spacing w:line="360" w:lineRule="auto"/>
        <w:ind w:right="-80" w:rightChars="-38"/>
        <w:rPr>
          <w:rFonts w:hint="eastAsia" w:ascii="宋体"/>
          <w:sz w:val="24"/>
        </w:rPr>
      </w:pPr>
      <w:r>
        <w:rPr>
          <w:rFonts w:hint="eastAsia" w:ascii="仿宋" w:hAnsi="仿宋" w:eastAsia="仿宋" w:cs="仿宋"/>
          <w:sz w:val="30"/>
          <w:szCs w:val="30"/>
          <w:lang w:val="en-US" w:eastAsia="zh-CN"/>
        </w:rPr>
        <w:t>4.1</w:t>
      </w:r>
      <w:r>
        <w:rPr>
          <w:rFonts w:hint="eastAsia" w:ascii="宋体"/>
          <w:sz w:val="24"/>
        </w:rPr>
        <w:t>投标方提供的设备应是符合本技术要求、在符合使用环境条件情况下，接通电源即可使用。</w:t>
      </w:r>
    </w:p>
    <w:p w14:paraId="249DFD75">
      <w:pPr>
        <w:numPr>
          <w:ilvl w:val="1"/>
          <w:numId w:val="0"/>
        </w:numPr>
        <w:tabs>
          <w:tab w:val="left" w:pos="560"/>
        </w:tabs>
        <w:spacing w:line="360" w:lineRule="auto"/>
        <w:ind w:right="-80" w:rightChars="-38"/>
        <w:rPr>
          <w:rFonts w:hint="eastAsia" w:ascii="宋体"/>
          <w:sz w:val="24"/>
        </w:rPr>
      </w:pPr>
      <w:r>
        <w:rPr>
          <w:rFonts w:hint="eastAsia" w:ascii="宋体"/>
          <w:sz w:val="24"/>
        </w:rPr>
        <w:t>工程条件</w:t>
      </w:r>
    </w:p>
    <w:p w14:paraId="2950CA8E">
      <w:pPr>
        <w:numPr>
          <w:ilvl w:val="0"/>
          <w:numId w:val="3"/>
        </w:numPr>
        <w:tabs>
          <w:tab w:val="left" w:pos="560"/>
        </w:tabs>
        <w:spacing w:line="360" w:lineRule="auto"/>
        <w:ind w:right="-80" w:rightChars="-38"/>
        <w:rPr>
          <w:rFonts w:hint="eastAsia" w:ascii="宋体" w:hAnsi="宋体"/>
          <w:sz w:val="24"/>
        </w:rPr>
      </w:pPr>
      <w:r>
        <w:rPr>
          <w:rFonts w:hint="eastAsia" w:ascii="宋体" w:hAnsi="宋体"/>
          <w:sz w:val="24"/>
        </w:rPr>
        <w:t>系统标称电压：</w:t>
      </w:r>
      <w:r>
        <w:rPr>
          <w:rFonts w:hint="eastAsia"/>
          <w:sz w:val="24"/>
          <w:u w:val="single"/>
        </w:rPr>
        <w:t>10. 5kV</w:t>
      </w:r>
    </w:p>
    <w:p w14:paraId="571B3230">
      <w:pPr>
        <w:numPr>
          <w:ilvl w:val="0"/>
          <w:numId w:val="3"/>
        </w:numPr>
        <w:tabs>
          <w:tab w:val="left" w:pos="560"/>
        </w:tabs>
        <w:spacing w:line="360" w:lineRule="auto"/>
        <w:ind w:right="-80" w:rightChars="-38"/>
        <w:rPr>
          <w:rFonts w:hint="eastAsia" w:ascii="宋体" w:hAnsi="宋体"/>
          <w:sz w:val="24"/>
        </w:rPr>
      </w:pPr>
      <w:r>
        <w:rPr>
          <w:rFonts w:hint="eastAsia" w:ascii="宋体" w:hAnsi="宋体"/>
          <w:sz w:val="24"/>
        </w:rPr>
        <w:t>系统最高电压：</w:t>
      </w:r>
      <w:r>
        <w:rPr>
          <w:rFonts w:hint="eastAsia"/>
          <w:sz w:val="24"/>
          <w:u w:val="single"/>
        </w:rPr>
        <w:t>12kV</w:t>
      </w:r>
    </w:p>
    <w:p w14:paraId="295860EC">
      <w:pPr>
        <w:numPr>
          <w:ilvl w:val="0"/>
          <w:numId w:val="3"/>
        </w:numPr>
        <w:tabs>
          <w:tab w:val="left" w:pos="560"/>
        </w:tabs>
        <w:spacing w:line="360" w:lineRule="auto"/>
        <w:ind w:right="-80" w:rightChars="-38"/>
        <w:rPr>
          <w:rFonts w:hint="eastAsia" w:ascii="宋体"/>
          <w:sz w:val="24"/>
        </w:rPr>
      </w:pPr>
      <w:r>
        <w:rPr>
          <w:rFonts w:hint="eastAsia" w:ascii="宋体" w:hAnsi="宋体"/>
          <w:sz w:val="24"/>
        </w:rPr>
        <w:t>系统额定频率：</w:t>
      </w:r>
      <w:r>
        <w:rPr>
          <w:rFonts w:hint="eastAsia"/>
          <w:sz w:val="24"/>
          <w:u w:val="single"/>
        </w:rPr>
        <w:t>50Hz</w:t>
      </w:r>
    </w:p>
    <w:p w14:paraId="50B80AFC">
      <w:pPr>
        <w:numPr>
          <w:ilvl w:val="0"/>
          <w:numId w:val="3"/>
        </w:numPr>
        <w:tabs>
          <w:tab w:val="left" w:pos="560"/>
        </w:tabs>
        <w:spacing w:line="360" w:lineRule="auto"/>
        <w:ind w:right="-80" w:rightChars="-38"/>
        <w:rPr>
          <w:rFonts w:hint="eastAsia" w:ascii="宋体"/>
          <w:sz w:val="24"/>
        </w:rPr>
      </w:pPr>
      <w:r>
        <w:rPr>
          <w:rFonts w:hint="eastAsia" w:ascii="宋体" w:hAnsi="宋体"/>
          <w:sz w:val="24"/>
        </w:rPr>
        <w:t>系统中性点接地方式：</w:t>
      </w:r>
      <w:r>
        <w:rPr>
          <w:rFonts w:hint="eastAsia"/>
          <w:sz w:val="24"/>
          <w:u w:val="single"/>
        </w:rPr>
        <w:t>非直接接地</w:t>
      </w:r>
    </w:p>
    <w:p w14:paraId="35EBD833">
      <w:pPr>
        <w:pStyle w:val="3"/>
        <w:spacing w:line="360" w:lineRule="auto"/>
        <w:ind w:right="-80" w:rightChars="-38" w:firstLine="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4.2箱式电站（安装方式：</w:t>
      </w:r>
      <w:r>
        <w:rPr>
          <w:rFonts w:hint="eastAsia" w:ascii="仿宋" w:hAnsi="仿宋" w:eastAsia="仿宋" w:cs="仿宋"/>
          <w:sz w:val="28"/>
          <w:szCs w:val="28"/>
          <w:highlight w:val="none"/>
          <w:lang w:val="en-US" w:eastAsia="zh-CN"/>
        </w:rPr>
        <w:t>落地式，混凝土基础）</w:t>
      </w:r>
    </w:p>
    <w:p w14:paraId="75C99AC8">
      <w:pPr>
        <w:pStyle w:val="2"/>
        <w:numPr>
          <w:ilvl w:val="0"/>
          <w:numId w:val="0"/>
        </w:numPr>
        <w:rPr>
          <w:rFonts w:hint="eastAsia" w:ascii="仿宋" w:hAnsi="仿宋" w:eastAsia="仿宋" w:cs="仿宋"/>
        </w:rPr>
      </w:pPr>
      <w:r>
        <w:rPr>
          <w:rFonts w:hint="eastAsia" w:ascii="仿宋" w:hAnsi="仿宋" w:eastAsia="仿宋" w:cs="仿宋"/>
          <w:lang w:val="en-US" w:eastAsia="zh-CN"/>
        </w:rPr>
        <w:t>4.2.1</w:t>
      </w:r>
      <w:r>
        <w:rPr>
          <w:rFonts w:hint="eastAsia" w:ascii="仿宋" w:hAnsi="仿宋" w:eastAsia="仿宋" w:cs="仿宋"/>
        </w:rPr>
        <w:t>箱体要求</w:t>
      </w:r>
    </w:p>
    <w:p w14:paraId="1BD7926A">
      <w:pPr>
        <w:numPr>
          <w:ilvl w:val="0"/>
          <w:numId w:val="4"/>
        </w:numPr>
        <w:spacing w:line="360" w:lineRule="auto"/>
        <w:ind w:right="-80" w:rightChars="-38"/>
        <w:rPr>
          <w:rFonts w:hint="eastAsia" w:hAnsi="宋体"/>
          <w:sz w:val="24"/>
        </w:rPr>
      </w:pPr>
      <w:r>
        <w:rPr>
          <w:rFonts w:hint="eastAsia" w:hAnsi="宋体"/>
          <w:sz w:val="24"/>
        </w:rPr>
        <w:t>箱体底座采用焊接式结构，顶盖采用高强度复合材料模块化拼接、20年内不退色、不氧化、不粉化，40年不锈蚀，环境适应性强。阻燃性能垂直燃烧级别可达V-0级。运行噪音满足25℃≤55dB，35℃≤65dB,40℃≤72dB。箱体外壳防护等级IP44；内部采用钢板及阻燃绝缘隔板严密分割成</w:t>
      </w:r>
      <w:r>
        <w:rPr>
          <w:rFonts w:hint="eastAsia" w:hAnsi="宋体"/>
          <w:sz w:val="24"/>
          <w:lang w:val="en-US" w:eastAsia="zh-CN"/>
        </w:rPr>
        <w:t>各各功能区室，</w:t>
      </w:r>
      <w:r>
        <w:rPr>
          <w:rFonts w:hint="eastAsia" w:hAnsi="宋体"/>
          <w:sz w:val="24"/>
        </w:rPr>
        <w:t>各室防护等级为IP3X。箱体框架为组装式结构，外表无焊道，整机无外漏螺栓，立柱采用2.0mm厚度及以上的优质镀锌钢板制作，外壳门板都采用1.5mm厚度及以上的优质镀锌钢板制作。</w:t>
      </w:r>
    </w:p>
    <w:p w14:paraId="7CD0DE82">
      <w:pPr>
        <w:numPr>
          <w:ilvl w:val="0"/>
          <w:numId w:val="4"/>
        </w:numPr>
        <w:spacing w:line="360" w:lineRule="auto"/>
        <w:ind w:right="-80" w:rightChars="-38"/>
        <w:rPr>
          <w:rFonts w:hint="eastAsia" w:hAnsi="宋体"/>
          <w:sz w:val="24"/>
        </w:rPr>
      </w:pPr>
      <w:r>
        <w:rPr>
          <w:rFonts w:hint="eastAsia" w:hAnsi="宋体"/>
          <w:sz w:val="24"/>
        </w:rPr>
        <w:t>箱体满足水平加速度0.3（g），垂直加速度0.15（g）的抗震要求。</w:t>
      </w:r>
    </w:p>
    <w:p w14:paraId="37C9A682">
      <w:pPr>
        <w:numPr>
          <w:ilvl w:val="0"/>
          <w:numId w:val="4"/>
        </w:numPr>
        <w:spacing w:line="360" w:lineRule="auto"/>
        <w:ind w:right="-80" w:rightChars="-38"/>
        <w:rPr>
          <w:rFonts w:hint="eastAsia" w:ascii="仿宋" w:hAnsi="仿宋" w:eastAsia="仿宋" w:cs="仿宋"/>
          <w:sz w:val="28"/>
          <w:szCs w:val="28"/>
          <w:highlight w:val="none"/>
          <w:lang w:val="en-US" w:eastAsia="zh-CN"/>
        </w:rPr>
      </w:pPr>
      <w:r>
        <w:rPr>
          <w:rFonts w:hint="eastAsia" w:hAnsi="宋体"/>
          <w:sz w:val="24"/>
        </w:rPr>
        <w:t>箱变应具备结构稳定的设计，在 11 级风（28.5~32.6m/s） 工况条件下持续风吹 1 个小时，设备无可见异常变形，柜门保持正常的开启、关闭和锁固。</w:t>
      </w:r>
    </w:p>
    <w:p w14:paraId="6732C075">
      <w:pPr>
        <w:pStyle w:val="3"/>
        <w:spacing w:line="360" w:lineRule="auto"/>
        <w:ind w:right="-80" w:rightChars="-38" w:firstLine="0"/>
        <w:rPr>
          <w:rFonts w:hint="eastAsia" w:ascii="宋体" w:hAnsi="宋体"/>
          <w:szCs w:val="24"/>
        </w:rPr>
      </w:pPr>
      <w:r>
        <w:rPr>
          <w:rFonts w:hint="eastAsia" w:ascii="宋体" w:hAnsi="宋体"/>
          <w:szCs w:val="24"/>
          <w:lang w:val="en-US" w:eastAsia="zh-CN"/>
        </w:rPr>
        <w:t>4.2.2</w:t>
      </w:r>
      <w:r>
        <w:rPr>
          <w:rFonts w:hint="eastAsia" w:ascii="仿宋" w:hAnsi="仿宋" w:eastAsia="仿宋" w:cs="仿宋"/>
          <w:sz w:val="28"/>
          <w:szCs w:val="28"/>
          <w:lang w:val="en-US" w:eastAsia="zh-CN"/>
        </w:rPr>
        <w:t>箱式电站</w:t>
      </w:r>
      <w:r>
        <w:rPr>
          <w:rFonts w:hint="eastAsia" w:ascii="宋体" w:hAnsi="宋体"/>
          <w:szCs w:val="24"/>
        </w:rPr>
        <w:t>干式变压器</w:t>
      </w:r>
    </w:p>
    <w:p w14:paraId="20D1851A">
      <w:pPr>
        <w:pStyle w:val="3"/>
        <w:spacing w:line="360" w:lineRule="auto"/>
        <w:ind w:right="-80" w:rightChars="-38" w:firstLine="0"/>
        <w:rPr>
          <w:rFonts w:hint="eastAsia" w:ascii="宋体" w:hAnsi="宋体"/>
          <w:szCs w:val="24"/>
        </w:rPr>
      </w:pPr>
      <w:r>
        <w:rPr>
          <w:rFonts w:hint="eastAsia" w:ascii="宋体" w:hAnsi="宋体"/>
          <w:szCs w:val="24"/>
          <w:lang w:val="en-US" w:eastAsia="zh-CN"/>
        </w:rPr>
        <w:t>4.2.2.1</w:t>
      </w:r>
      <w:r>
        <w:rPr>
          <w:rFonts w:hint="eastAsia" w:ascii="宋体" w:hAnsi="宋体"/>
        </w:rPr>
        <w:t>设备的主要参数</w:t>
      </w:r>
    </w:p>
    <w:p w14:paraId="104FD11B">
      <w:pPr>
        <w:pStyle w:val="8"/>
        <w:numPr>
          <w:ilvl w:val="0"/>
          <w:numId w:val="5"/>
        </w:numPr>
        <w:spacing w:line="360" w:lineRule="auto"/>
        <w:ind w:right="-80" w:rightChars="-38"/>
        <w:rPr>
          <w:rFonts w:hint="eastAsia" w:ascii="宋体" w:hAnsi="宋体"/>
          <w:sz w:val="24"/>
          <w:szCs w:val="24"/>
        </w:rPr>
      </w:pPr>
      <w:r>
        <w:rPr>
          <w:rFonts w:hAnsi="宋体"/>
          <w:sz w:val="24"/>
          <w:szCs w:val="24"/>
        </w:rPr>
        <w:t>型</w:t>
      </w:r>
      <w:r>
        <w:rPr>
          <w:rFonts w:hint="eastAsia" w:hAnsi="宋体"/>
          <w:sz w:val="24"/>
          <w:szCs w:val="24"/>
        </w:rPr>
        <w:t xml:space="preserve">    </w:t>
      </w:r>
      <w:r>
        <w:rPr>
          <w:rFonts w:hAnsi="宋体"/>
          <w:sz w:val="24"/>
          <w:szCs w:val="24"/>
        </w:rPr>
        <w:t>式：</w:t>
      </w:r>
      <w:r>
        <w:rPr>
          <w:rFonts w:hint="eastAsia" w:ascii="宋体" w:hAnsi="宋体"/>
          <w:color w:val="000000"/>
          <w:sz w:val="24"/>
        </w:rPr>
        <w:t>三相环氧浇注双卷铜(箔)绕组无励磁调压干式变压器；</w:t>
      </w:r>
    </w:p>
    <w:p w14:paraId="2D433964">
      <w:pPr>
        <w:pStyle w:val="8"/>
        <w:numPr>
          <w:ilvl w:val="0"/>
          <w:numId w:val="5"/>
        </w:numPr>
        <w:spacing w:line="360" w:lineRule="auto"/>
        <w:ind w:right="-80" w:rightChars="-38"/>
        <w:rPr>
          <w:rFonts w:hint="eastAsia" w:hAnsi="宋体"/>
          <w:sz w:val="24"/>
          <w:szCs w:val="24"/>
        </w:rPr>
      </w:pPr>
      <w:r>
        <w:rPr>
          <w:rFonts w:hint="eastAsia" w:ascii="宋体" w:hAnsi="宋体"/>
          <w:sz w:val="24"/>
          <w:szCs w:val="24"/>
        </w:rPr>
        <w:t>型    号：</w:t>
      </w:r>
      <w:r>
        <w:rPr>
          <w:rFonts w:hint="eastAsia" w:ascii="宋体" w:hAnsi="宋体"/>
          <w:sz w:val="24"/>
          <w:lang w:eastAsia="zh-CN"/>
        </w:rPr>
        <w:t>（</w:t>
      </w:r>
      <w:r>
        <w:rPr>
          <w:rFonts w:hint="eastAsia" w:ascii="宋体" w:hAnsi="宋体"/>
          <w:sz w:val="24"/>
          <w:lang w:val="en-US" w:eastAsia="zh-CN"/>
        </w:rPr>
        <w:t>投标方填写）</w:t>
      </w:r>
    </w:p>
    <w:p w14:paraId="21233BB7">
      <w:pPr>
        <w:numPr>
          <w:ilvl w:val="0"/>
          <w:numId w:val="5"/>
        </w:numPr>
        <w:spacing w:line="360" w:lineRule="auto"/>
        <w:ind w:right="-80" w:rightChars="-38"/>
        <w:rPr>
          <w:rFonts w:hint="eastAsia" w:hAnsi="宋体"/>
          <w:sz w:val="24"/>
        </w:rPr>
      </w:pPr>
      <w:r>
        <w:rPr>
          <w:rFonts w:hint="eastAsia" w:hAnsi="宋体"/>
          <w:sz w:val="24"/>
        </w:rPr>
        <w:t>相    数：三相；</w:t>
      </w:r>
    </w:p>
    <w:p w14:paraId="44549FBE">
      <w:pPr>
        <w:numPr>
          <w:ilvl w:val="0"/>
          <w:numId w:val="5"/>
        </w:numPr>
        <w:spacing w:line="360" w:lineRule="auto"/>
        <w:ind w:right="-80" w:rightChars="-38"/>
        <w:rPr>
          <w:rFonts w:hint="eastAsia" w:hAnsi="宋体"/>
          <w:sz w:val="24"/>
        </w:rPr>
      </w:pPr>
      <w:r>
        <w:rPr>
          <w:rFonts w:hint="eastAsia" w:hAnsi="宋体"/>
          <w:sz w:val="24"/>
        </w:rPr>
        <w:t>额定容量：</w:t>
      </w:r>
      <w:r>
        <w:rPr>
          <w:rFonts w:hint="eastAsia" w:ascii="仿宋" w:hAnsi="仿宋" w:eastAsia="仿宋" w:cs="仿宋"/>
          <w:sz w:val="28"/>
          <w:szCs w:val="28"/>
          <w:lang w:val="en-US" w:eastAsia="zh-CN"/>
        </w:rPr>
        <w:t>≥800kVA</w:t>
      </w:r>
      <w:r>
        <w:rPr>
          <w:rFonts w:hint="eastAsia" w:hAnsi="宋体"/>
          <w:sz w:val="24"/>
        </w:rPr>
        <w:t>；</w:t>
      </w:r>
    </w:p>
    <w:p w14:paraId="42846067">
      <w:pPr>
        <w:numPr>
          <w:ilvl w:val="0"/>
          <w:numId w:val="5"/>
        </w:numPr>
        <w:spacing w:line="360" w:lineRule="auto"/>
        <w:ind w:right="-80" w:rightChars="-38"/>
        <w:rPr>
          <w:rFonts w:hint="eastAsia" w:hAnsi="宋体"/>
          <w:sz w:val="24"/>
        </w:rPr>
      </w:pPr>
      <w:r>
        <w:rPr>
          <w:rFonts w:hint="eastAsia" w:hAnsi="宋体"/>
          <w:sz w:val="24"/>
        </w:rPr>
        <w:t>台    数：</w:t>
      </w:r>
      <w:r>
        <w:rPr>
          <w:rFonts w:hint="eastAsia" w:hAnsi="宋体"/>
          <w:sz w:val="24"/>
          <w:lang w:val="en-US" w:eastAsia="zh-CN"/>
        </w:rPr>
        <w:t>1台</w:t>
      </w:r>
      <w:r>
        <w:rPr>
          <w:rFonts w:hint="eastAsia" w:hAnsi="宋体"/>
          <w:color w:val="000000"/>
          <w:sz w:val="24"/>
        </w:rPr>
        <w:t>；</w:t>
      </w:r>
    </w:p>
    <w:p w14:paraId="09D21062">
      <w:pPr>
        <w:numPr>
          <w:ilvl w:val="0"/>
          <w:numId w:val="5"/>
        </w:numPr>
        <w:spacing w:line="360" w:lineRule="auto"/>
        <w:ind w:right="-80" w:rightChars="-38"/>
        <w:rPr>
          <w:rFonts w:hint="eastAsia" w:hAnsi="宋体"/>
          <w:sz w:val="24"/>
        </w:rPr>
      </w:pPr>
      <w:r>
        <w:rPr>
          <w:rFonts w:hint="eastAsia" w:hAnsi="宋体"/>
          <w:sz w:val="24"/>
        </w:rPr>
        <w:t>额定频率：50HZ；</w:t>
      </w:r>
    </w:p>
    <w:p w14:paraId="1DFC4128">
      <w:pPr>
        <w:pStyle w:val="6"/>
        <w:numPr>
          <w:ilvl w:val="0"/>
          <w:numId w:val="5"/>
        </w:numPr>
        <w:spacing w:line="360" w:lineRule="auto"/>
        <w:ind w:right="-80" w:rightChars="-38"/>
        <w:rPr>
          <w:rFonts w:hint="eastAsia" w:hAnsi="宋体"/>
          <w:sz w:val="24"/>
          <w:szCs w:val="24"/>
        </w:rPr>
      </w:pPr>
      <w:r>
        <w:rPr>
          <w:rFonts w:hint="eastAsia" w:ascii="Times New Roman" w:hAnsi="宋体"/>
          <w:sz w:val="24"/>
          <w:szCs w:val="24"/>
        </w:rPr>
        <w:t>额定电压：</w:t>
      </w:r>
      <w:r>
        <w:rPr>
          <w:rFonts w:hint="eastAsia" w:hAnsi="宋体"/>
          <w:sz w:val="24"/>
          <w:szCs w:val="24"/>
        </w:rPr>
        <w:t>高压侧：</w:t>
      </w:r>
      <w:r>
        <w:rPr>
          <w:rFonts w:hint="eastAsia" w:hAnsi="宋体"/>
          <w:sz w:val="24"/>
        </w:rPr>
        <w:t>10.5</w:t>
      </w:r>
      <w:r>
        <w:rPr>
          <w:rFonts w:hint="eastAsia" w:hAnsi="宋体"/>
          <w:sz w:val="24"/>
          <w:szCs w:val="24"/>
        </w:rPr>
        <w:t>kV；</w:t>
      </w:r>
    </w:p>
    <w:p w14:paraId="5E642BDA">
      <w:pPr>
        <w:spacing w:line="360" w:lineRule="auto"/>
        <w:ind w:right="-80" w:rightChars="-38" w:firstLine="1680" w:firstLineChars="700"/>
        <w:rPr>
          <w:rFonts w:hint="eastAsia" w:ascii="宋体" w:hAnsi="宋体"/>
          <w:sz w:val="24"/>
        </w:rPr>
      </w:pPr>
      <w:r>
        <w:rPr>
          <w:rFonts w:hint="eastAsia" w:ascii="宋体" w:hAnsi="宋体"/>
          <w:sz w:val="24"/>
        </w:rPr>
        <w:t>低压侧：0.4kV；</w:t>
      </w:r>
    </w:p>
    <w:p w14:paraId="7C3554B0">
      <w:pPr>
        <w:numPr>
          <w:ilvl w:val="0"/>
          <w:numId w:val="4"/>
        </w:numPr>
        <w:spacing w:line="360" w:lineRule="auto"/>
        <w:ind w:right="-80" w:rightChars="-38"/>
        <w:rPr>
          <w:rFonts w:hint="eastAsia" w:hAnsi="宋体"/>
          <w:sz w:val="24"/>
        </w:rPr>
      </w:pPr>
      <w:r>
        <w:rPr>
          <w:rFonts w:hint="eastAsia" w:hAnsi="宋体"/>
          <w:sz w:val="24"/>
        </w:rPr>
        <w:t>调压方式：无励磁调压，±2×2.5%；</w:t>
      </w:r>
    </w:p>
    <w:p w14:paraId="7133BF32">
      <w:pPr>
        <w:numPr>
          <w:ilvl w:val="0"/>
          <w:numId w:val="4"/>
        </w:numPr>
        <w:spacing w:line="360" w:lineRule="auto"/>
        <w:ind w:right="-80" w:rightChars="-38"/>
        <w:rPr>
          <w:rFonts w:hint="eastAsia" w:hAnsi="宋体"/>
          <w:sz w:val="24"/>
        </w:rPr>
      </w:pPr>
      <w:r>
        <w:rPr>
          <w:rFonts w:hint="eastAsia" w:hAnsi="宋体"/>
          <w:sz w:val="24"/>
        </w:rPr>
        <w:t>冷却方式：</w:t>
      </w:r>
      <w:r>
        <w:rPr>
          <w:rFonts w:hint="eastAsia" w:ascii="宋体" w:hAnsi="宋体"/>
          <w:color w:val="000000"/>
          <w:sz w:val="24"/>
        </w:rPr>
        <w:t>AN/AF，强迫风冷时的容量不小于额定容量的150%；</w:t>
      </w:r>
    </w:p>
    <w:p w14:paraId="39545421">
      <w:pPr>
        <w:numPr>
          <w:ilvl w:val="0"/>
          <w:numId w:val="4"/>
        </w:numPr>
        <w:spacing w:line="360" w:lineRule="auto"/>
        <w:ind w:right="-80" w:rightChars="-38"/>
        <w:rPr>
          <w:rFonts w:hint="eastAsia" w:hAnsi="宋体"/>
          <w:sz w:val="24"/>
        </w:rPr>
      </w:pPr>
      <w:r>
        <w:rPr>
          <w:rFonts w:hint="eastAsia" w:hAnsi="宋体"/>
          <w:sz w:val="24"/>
        </w:rPr>
        <w:t>附    件：</w:t>
      </w:r>
      <w:r>
        <w:rPr>
          <w:rFonts w:hint="eastAsia" w:ascii="宋体" w:hAnsi="宋体" w:eastAsiaTheme="minorEastAsia" w:cstheme="minorBidi"/>
          <w:kern w:val="2"/>
          <w:sz w:val="24"/>
          <w:szCs w:val="24"/>
          <w:lang w:val="en-US" w:eastAsia="zh-CN" w:bidi="ar-SA"/>
        </w:rPr>
        <w:t>附中性点电流互感器 LMZJ1-0.66-1200/1A</w:t>
      </w:r>
      <w:r>
        <w:rPr>
          <w:rFonts w:hint="eastAsia" w:ascii="宋体" w:hAnsi="宋体" w:cstheme="minorBidi"/>
          <w:kern w:val="2"/>
          <w:sz w:val="24"/>
          <w:szCs w:val="24"/>
          <w:lang w:val="en-US" w:eastAsia="zh-CN" w:bidi="ar-SA"/>
        </w:rPr>
        <w:t>，</w:t>
      </w:r>
      <w:r>
        <w:rPr>
          <w:rFonts w:hint="eastAsia" w:ascii="宋体" w:hAnsi="宋体" w:eastAsiaTheme="minorEastAsia" w:cstheme="minorBidi"/>
          <w:kern w:val="2"/>
          <w:sz w:val="24"/>
          <w:szCs w:val="24"/>
          <w:lang w:val="en-US" w:eastAsia="zh-CN" w:bidi="ar-SA"/>
        </w:rPr>
        <w:t>一只</w:t>
      </w:r>
      <w:r>
        <w:rPr>
          <w:rFonts w:hint="eastAsia"/>
        </w:rPr>
        <w:t>带风机和温控</w:t>
      </w:r>
      <w:r>
        <w:rPr>
          <w:rFonts w:hint="eastAsia" w:hAnsi="宋体"/>
          <w:sz w:val="24"/>
        </w:rPr>
        <w:t>；</w:t>
      </w:r>
    </w:p>
    <w:p w14:paraId="6A0BB097">
      <w:pPr>
        <w:pStyle w:val="6"/>
        <w:numPr>
          <w:ilvl w:val="0"/>
          <w:numId w:val="4"/>
        </w:numPr>
        <w:spacing w:line="360" w:lineRule="auto"/>
        <w:ind w:right="-80" w:rightChars="-38"/>
        <w:rPr>
          <w:rFonts w:hAnsi="宋体"/>
          <w:sz w:val="24"/>
          <w:szCs w:val="24"/>
        </w:rPr>
      </w:pPr>
      <w:r>
        <w:rPr>
          <w:rFonts w:hint="eastAsia" w:hAnsi="宋体"/>
          <w:sz w:val="24"/>
          <w:szCs w:val="24"/>
        </w:rPr>
        <w:t>外壳材质：</w:t>
      </w:r>
      <w:r>
        <w:rPr>
          <w:rFonts w:hint="eastAsia" w:hAnsi="宋体"/>
          <w:sz w:val="24"/>
        </w:rPr>
        <w:t>不锈钢板外壳；</w:t>
      </w:r>
    </w:p>
    <w:p w14:paraId="54D94C88">
      <w:pPr>
        <w:pStyle w:val="6"/>
        <w:numPr>
          <w:ilvl w:val="0"/>
          <w:numId w:val="4"/>
        </w:numPr>
        <w:spacing w:line="360" w:lineRule="auto"/>
        <w:ind w:right="-80" w:rightChars="-38"/>
        <w:rPr>
          <w:rFonts w:hAnsi="宋体"/>
          <w:sz w:val="24"/>
          <w:szCs w:val="24"/>
        </w:rPr>
      </w:pPr>
      <w:r>
        <w:rPr>
          <w:rFonts w:hint="eastAsia" w:hAnsi="宋体"/>
          <w:sz w:val="24"/>
          <w:szCs w:val="24"/>
        </w:rPr>
        <w:t>外壳防护等级：</w:t>
      </w:r>
      <w:r>
        <w:rPr>
          <w:rFonts w:hint="eastAsia" w:hAnsi="宋体"/>
          <w:sz w:val="24"/>
        </w:rPr>
        <w:t>IP</w:t>
      </w:r>
      <w:r>
        <w:rPr>
          <w:rFonts w:hint="eastAsia" w:hAnsi="宋体"/>
          <w:sz w:val="24"/>
          <w:lang w:val="en-US" w:eastAsia="zh-CN"/>
        </w:rPr>
        <w:t>3</w:t>
      </w:r>
      <w:r>
        <w:rPr>
          <w:rFonts w:hint="eastAsia" w:hAnsi="宋体"/>
          <w:sz w:val="24"/>
        </w:rPr>
        <w:t>3；</w:t>
      </w:r>
    </w:p>
    <w:p w14:paraId="448B10E2">
      <w:pPr>
        <w:pStyle w:val="6"/>
        <w:numPr>
          <w:ilvl w:val="0"/>
          <w:numId w:val="4"/>
        </w:numPr>
        <w:spacing w:line="360" w:lineRule="auto"/>
        <w:ind w:right="-80" w:rightChars="-38"/>
        <w:rPr>
          <w:rFonts w:hint="eastAsia" w:hAnsi="宋体"/>
          <w:sz w:val="24"/>
          <w:szCs w:val="24"/>
        </w:rPr>
      </w:pPr>
      <w:r>
        <w:rPr>
          <w:rFonts w:hint="eastAsia" w:hAnsi="宋体"/>
          <w:sz w:val="24"/>
          <w:szCs w:val="24"/>
        </w:rPr>
        <w:t>绕组额定变比：10.5±2×2.5%/0.4kV；</w:t>
      </w:r>
    </w:p>
    <w:p w14:paraId="33D5A09D">
      <w:pPr>
        <w:pStyle w:val="6"/>
        <w:numPr>
          <w:ilvl w:val="0"/>
          <w:numId w:val="4"/>
        </w:numPr>
        <w:spacing w:line="360" w:lineRule="auto"/>
        <w:ind w:right="-80" w:rightChars="-38"/>
        <w:rPr>
          <w:rFonts w:hint="eastAsia" w:hAnsi="宋体"/>
          <w:sz w:val="24"/>
          <w:szCs w:val="24"/>
        </w:rPr>
      </w:pPr>
      <w:r>
        <w:rPr>
          <w:rFonts w:hint="eastAsia" w:hAnsi="宋体"/>
          <w:sz w:val="24"/>
          <w:szCs w:val="24"/>
        </w:rPr>
        <w:t>短路阻抗：</w:t>
      </w:r>
      <w:r>
        <w:rPr>
          <w:rFonts w:hint="eastAsia" w:hAnsi="宋体"/>
          <w:sz w:val="24"/>
          <w:lang w:val="en-US" w:eastAsia="zh-CN"/>
        </w:rPr>
        <w:t>6%</w:t>
      </w:r>
      <w:r>
        <w:rPr>
          <w:rFonts w:hint="eastAsia" w:hAnsi="宋体"/>
          <w:sz w:val="24"/>
          <w:szCs w:val="24"/>
        </w:rPr>
        <w:t>（</w:t>
      </w:r>
      <w:r>
        <w:rPr>
          <w:rFonts w:hint="eastAsia" w:hAnsi="宋体"/>
          <w:color w:val="000000"/>
          <w:sz w:val="24"/>
        </w:rPr>
        <w:t>误差不超过±</w:t>
      </w:r>
      <w:r>
        <w:rPr>
          <w:rFonts w:hAnsi="宋体"/>
          <w:color w:val="000000"/>
          <w:sz w:val="24"/>
        </w:rPr>
        <w:t>7.5%</w:t>
      </w:r>
      <w:r>
        <w:rPr>
          <w:rFonts w:hint="eastAsia" w:hAnsi="宋体"/>
          <w:sz w:val="24"/>
          <w:szCs w:val="24"/>
        </w:rPr>
        <w:t>）；</w:t>
      </w:r>
    </w:p>
    <w:p w14:paraId="05B64A4F">
      <w:pPr>
        <w:pStyle w:val="6"/>
        <w:numPr>
          <w:ilvl w:val="0"/>
          <w:numId w:val="4"/>
        </w:numPr>
        <w:spacing w:line="360" w:lineRule="auto"/>
        <w:ind w:right="-80" w:rightChars="-38"/>
        <w:rPr>
          <w:rFonts w:hint="eastAsia" w:hAnsi="宋体"/>
          <w:sz w:val="24"/>
          <w:szCs w:val="24"/>
        </w:rPr>
      </w:pPr>
      <w:r>
        <w:rPr>
          <w:rFonts w:hint="eastAsia" w:hAnsi="宋体"/>
          <w:sz w:val="24"/>
          <w:szCs w:val="24"/>
        </w:rPr>
        <w:t>联接组标号：</w:t>
      </w:r>
      <w:bookmarkStart w:id="5" w:name="OLE_LINK1"/>
      <w:r>
        <w:rPr>
          <w:rFonts w:hint="eastAsia" w:hAnsi="宋体"/>
          <w:sz w:val="24"/>
          <w:szCs w:val="24"/>
        </w:rPr>
        <w:t>D，yn11</w:t>
      </w:r>
      <w:bookmarkEnd w:id="5"/>
      <w:r>
        <w:rPr>
          <w:rFonts w:hint="eastAsia" w:hAnsi="宋体"/>
          <w:sz w:val="24"/>
          <w:szCs w:val="24"/>
        </w:rPr>
        <w:t>；</w:t>
      </w:r>
    </w:p>
    <w:p w14:paraId="425CC17A">
      <w:pPr>
        <w:pStyle w:val="6"/>
        <w:numPr>
          <w:ilvl w:val="0"/>
          <w:numId w:val="4"/>
        </w:numPr>
        <w:spacing w:line="360" w:lineRule="auto"/>
        <w:ind w:right="-80" w:rightChars="-38"/>
        <w:rPr>
          <w:rFonts w:hint="eastAsia" w:hAnsi="宋体"/>
          <w:color w:val="000000"/>
          <w:sz w:val="24"/>
        </w:rPr>
      </w:pPr>
      <w:r>
        <w:rPr>
          <w:rFonts w:hint="eastAsia" w:hAnsi="宋体"/>
          <w:color w:val="000000"/>
          <w:sz w:val="24"/>
        </w:rPr>
        <w:t>极性：负极性；</w:t>
      </w:r>
    </w:p>
    <w:p w14:paraId="4D7A65B8">
      <w:pPr>
        <w:numPr>
          <w:ilvl w:val="0"/>
          <w:numId w:val="4"/>
        </w:numPr>
        <w:snapToGrid w:val="0"/>
        <w:spacing w:line="360" w:lineRule="auto"/>
        <w:rPr>
          <w:rFonts w:ascii="宋体" w:hAnsi="宋体"/>
          <w:color w:val="000000"/>
          <w:sz w:val="24"/>
        </w:rPr>
      </w:pPr>
      <w:r>
        <w:rPr>
          <w:rFonts w:hint="eastAsia" w:ascii="宋体" w:hAnsi="宋体"/>
          <w:color w:val="000000"/>
          <w:sz w:val="24"/>
        </w:rPr>
        <w:t>接地方式：高压绕组：不接地；</w:t>
      </w:r>
    </w:p>
    <w:p w14:paraId="17022176">
      <w:pPr>
        <w:pStyle w:val="6"/>
        <w:spacing w:line="360" w:lineRule="auto"/>
        <w:ind w:left="1260" w:leftChars="600" w:right="-80" w:rightChars="-38" w:firstLine="360" w:firstLineChars="150"/>
        <w:rPr>
          <w:rFonts w:hint="eastAsia"/>
          <w:sz w:val="24"/>
        </w:rPr>
      </w:pPr>
      <w:r>
        <w:rPr>
          <w:rFonts w:hint="eastAsia" w:hAnsi="宋体"/>
          <w:color w:val="000000"/>
          <w:sz w:val="24"/>
        </w:rPr>
        <w:t>低压绕组：中性点直接接地(中性点端子引出)；</w:t>
      </w:r>
    </w:p>
    <w:p w14:paraId="3E5836B3">
      <w:pPr>
        <w:pStyle w:val="6"/>
        <w:numPr>
          <w:ilvl w:val="0"/>
          <w:numId w:val="6"/>
        </w:numPr>
        <w:spacing w:line="360" w:lineRule="auto"/>
        <w:ind w:right="-80" w:rightChars="-38"/>
        <w:rPr>
          <w:rFonts w:hAnsi="宋体"/>
          <w:sz w:val="24"/>
          <w:szCs w:val="24"/>
        </w:rPr>
      </w:pPr>
      <w:r>
        <w:rPr>
          <w:rFonts w:hint="eastAsia" w:hAnsi="宋体"/>
          <w:sz w:val="24"/>
          <w:szCs w:val="24"/>
        </w:rPr>
        <w:t>端子连接方式：高压侧：</w:t>
      </w:r>
      <w:r>
        <w:rPr>
          <w:rFonts w:hint="eastAsia" w:hAnsi="宋体"/>
          <w:sz w:val="24"/>
        </w:rPr>
        <w:t>10</w:t>
      </w:r>
      <w:r>
        <w:rPr>
          <w:rFonts w:hint="eastAsia" w:hAnsi="宋体"/>
          <w:sz w:val="24"/>
          <w:szCs w:val="24"/>
        </w:rPr>
        <w:t>kV开关柜</w:t>
      </w:r>
      <w:r>
        <w:rPr>
          <w:rFonts w:hAnsi="宋体"/>
          <w:sz w:val="24"/>
          <w:szCs w:val="24"/>
        </w:rPr>
        <w:t>,</w:t>
      </w:r>
      <w:r>
        <w:rPr>
          <w:rFonts w:hint="eastAsia" w:hAnsi="宋体"/>
          <w:sz w:val="24"/>
        </w:rPr>
        <w:t xml:space="preserve"> 高压电缆下进线；</w:t>
      </w:r>
    </w:p>
    <w:p w14:paraId="06C4EABB">
      <w:pPr>
        <w:pStyle w:val="6"/>
        <w:spacing w:line="360" w:lineRule="auto"/>
        <w:ind w:right="-80" w:rightChars="-38" w:firstLine="425"/>
        <w:rPr>
          <w:rFonts w:hAnsi="宋体"/>
          <w:sz w:val="24"/>
          <w:szCs w:val="24"/>
        </w:rPr>
      </w:pPr>
      <w:r>
        <w:rPr>
          <w:rFonts w:hint="eastAsia" w:hAnsi="宋体"/>
          <w:sz w:val="24"/>
          <w:szCs w:val="24"/>
        </w:rPr>
        <w:t>　</w:t>
      </w:r>
      <w:r>
        <w:rPr>
          <w:rFonts w:hint="eastAsia" w:hAnsi="宋体"/>
          <w:sz w:val="24"/>
          <w:szCs w:val="24"/>
        </w:rPr>
        <w:tab/>
      </w:r>
      <w:r>
        <w:rPr>
          <w:rFonts w:hint="eastAsia" w:hAnsi="宋体"/>
          <w:sz w:val="24"/>
          <w:szCs w:val="24"/>
        </w:rPr>
        <w:t xml:space="preserve">     </w:t>
      </w:r>
      <w:r>
        <w:rPr>
          <w:rFonts w:hint="eastAsia" w:hAnsi="宋体"/>
          <w:sz w:val="24"/>
          <w:szCs w:val="24"/>
        </w:rPr>
        <w:tab/>
      </w:r>
      <w:r>
        <w:rPr>
          <w:rFonts w:hint="eastAsia" w:hAnsi="宋体"/>
          <w:sz w:val="24"/>
          <w:szCs w:val="24"/>
        </w:rPr>
        <w:t xml:space="preserve">   低压侧：</w:t>
      </w:r>
      <w:r>
        <w:rPr>
          <w:rFonts w:hint="eastAsia" w:hAnsi="宋体"/>
          <w:sz w:val="24"/>
        </w:rPr>
        <w:t>0.4</w:t>
      </w:r>
      <w:r>
        <w:rPr>
          <w:rFonts w:hint="eastAsia" w:hAnsi="宋体"/>
          <w:sz w:val="24"/>
          <w:szCs w:val="24"/>
        </w:rPr>
        <w:t>kV开关柜</w:t>
      </w:r>
      <w:r>
        <w:rPr>
          <w:rFonts w:hAnsi="宋体"/>
          <w:sz w:val="24"/>
          <w:szCs w:val="24"/>
        </w:rPr>
        <w:t>,</w:t>
      </w:r>
      <w:r>
        <w:rPr>
          <w:rFonts w:hint="eastAsia" w:hAnsi="宋体"/>
          <w:sz w:val="24"/>
        </w:rPr>
        <w:t xml:space="preserve"> 低压母排上出线；</w:t>
      </w:r>
    </w:p>
    <w:p w14:paraId="3C5352C4">
      <w:pPr>
        <w:pStyle w:val="6"/>
        <w:numPr>
          <w:ilvl w:val="0"/>
          <w:numId w:val="6"/>
        </w:numPr>
        <w:spacing w:line="360" w:lineRule="auto"/>
        <w:ind w:right="-80" w:rightChars="-38"/>
        <w:rPr>
          <w:rFonts w:hint="eastAsia" w:hAnsi="宋体"/>
          <w:sz w:val="24"/>
          <w:szCs w:val="24"/>
        </w:rPr>
      </w:pPr>
      <w:r>
        <w:rPr>
          <w:rFonts w:hint="eastAsia" w:hAnsi="宋体"/>
          <w:sz w:val="24"/>
          <w:szCs w:val="24"/>
        </w:rPr>
        <w:t>变压器相序：面对变压器高压侧，从左到右高压侧为：A、B、C；</w:t>
      </w:r>
    </w:p>
    <w:p w14:paraId="5024D765">
      <w:pPr>
        <w:pStyle w:val="6"/>
        <w:spacing w:line="360" w:lineRule="auto"/>
        <w:ind w:right="-80" w:rightChars="-38" w:firstLine="1920" w:firstLineChars="800"/>
        <w:rPr>
          <w:rFonts w:hint="eastAsia" w:cs="宋体"/>
          <w:sz w:val="24"/>
          <w:lang w:val="zh-CN"/>
        </w:rPr>
      </w:pPr>
      <w:r>
        <w:rPr>
          <w:rFonts w:hint="eastAsia" w:hAnsi="宋体"/>
          <w:sz w:val="24"/>
          <w:szCs w:val="24"/>
        </w:rPr>
        <w:t>低压侧相序为： o、a、b、c；</w:t>
      </w:r>
    </w:p>
    <w:p w14:paraId="6B6C0D6D">
      <w:pPr>
        <w:pStyle w:val="6"/>
        <w:numPr>
          <w:ilvl w:val="0"/>
          <w:numId w:val="6"/>
        </w:numPr>
        <w:spacing w:line="360" w:lineRule="auto"/>
        <w:ind w:right="-80" w:rightChars="-38"/>
        <w:rPr>
          <w:rFonts w:hint="eastAsia" w:hAnsi="宋体"/>
          <w:color w:val="000000"/>
          <w:sz w:val="24"/>
        </w:rPr>
      </w:pPr>
      <w:r>
        <w:rPr>
          <w:rFonts w:hint="eastAsia" w:hAnsi="宋体"/>
          <w:color w:val="000000"/>
          <w:sz w:val="24"/>
        </w:rPr>
        <w:t>绕组绝缘等级：</w:t>
      </w:r>
      <w:r>
        <w:rPr>
          <w:rFonts w:hint="eastAsia" w:hAnsi="宋体"/>
          <w:color w:val="000000"/>
          <w:sz w:val="24"/>
          <w:lang w:val="en-US" w:eastAsia="zh-CN"/>
        </w:rPr>
        <w:t>H</w:t>
      </w:r>
      <w:r>
        <w:rPr>
          <w:rFonts w:hint="eastAsia" w:hAnsi="宋体"/>
          <w:color w:val="000000"/>
          <w:sz w:val="24"/>
        </w:rPr>
        <w:t>级</w:t>
      </w:r>
      <w:r>
        <w:rPr>
          <w:rFonts w:hint="eastAsia" w:hAnsi="宋体"/>
          <w:color w:val="000000"/>
          <w:sz w:val="24"/>
          <w:lang w:eastAsia="zh-CN"/>
        </w:rPr>
        <w:t>；</w:t>
      </w:r>
    </w:p>
    <w:p w14:paraId="4D341642">
      <w:pPr>
        <w:spacing w:line="360" w:lineRule="auto"/>
        <w:ind w:right="-80" w:rightChars="-38"/>
        <w:rPr>
          <w:rFonts w:hint="default" w:ascii="仿宋" w:hAnsi="仿宋" w:eastAsia="仿宋" w:cs="仿宋"/>
          <w:sz w:val="28"/>
          <w:szCs w:val="28"/>
          <w:highlight w:val="none"/>
          <w:lang w:val="en-US" w:eastAsia="zh-CN"/>
        </w:rPr>
      </w:pPr>
      <w:r>
        <w:rPr>
          <w:rFonts w:hint="eastAsia" w:ascii="宋体" w:hAnsi="宋体"/>
          <w:sz w:val="24"/>
          <w:lang w:val="en-US" w:eastAsia="zh-CN"/>
        </w:rPr>
        <w:t>4.2.2.2变压器采用船用变压器，满足船级社（如CCS、DNV、BV等）的严格认证要求。</w:t>
      </w:r>
    </w:p>
    <w:p w14:paraId="0EBA2602">
      <w:pPr>
        <w:pStyle w:val="6"/>
        <w:numPr>
          <w:ilvl w:val="0"/>
          <w:numId w:val="0"/>
        </w:numPr>
        <w:spacing w:line="360" w:lineRule="auto"/>
        <w:ind w:leftChars="0" w:right="-80" w:rightChars="-38"/>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4.2.2.3变压器应采用特变电工、科锐、江苏华鹏、海南金盘、南京大全等国内知名品牌的产品</w:t>
      </w:r>
      <w:r>
        <w:rPr>
          <w:rFonts w:hint="eastAsia" w:hAnsi="宋体" w:cstheme="minorBidi"/>
          <w:kern w:val="2"/>
          <w:sz w:val="24"/>
          <w:szCs w:val="24"/>
          <w:lang w:val="en-US" w:eastAsia="zh-CN" w:bidi="ar-SA"/>
        </w:rPr>
        <w:t>。</w:t>
      </w:r>
    </w:p>
    <w:p w14:paraId="2F9C0FF2">
      <w:pPr>
        <w:spacing w:line="360" w:lineRule="auto"/>
        <w:ind w:right="-80" w:rightChars="-38"/>
        <w:rPr>
          <w:rFonts w:hint="eastAsia" w:ascii="宋体" w:hAnsi="宋体"/>
          <w:color w:val="000000"/>
          <w:sz w:val="24"/>
        </w:rPr>
      </w:pPr>
      <w:r>
        <w:rPr>
          <w:rFonts w:hint="eastAsia" w:ascii="宋体" w:hAnsi="宋体" w:eastAsiaTheme="minorEastAsia" w:cstheme="minorBidi"/>
          <w:kern w:val="2"/>
          <w:sz w:val="24"/>
          <w:szCs w:val="24"/>
          <w:lang w:val="en-US" w:eastAsia="zh-CN" w:bidi="ar-SA"/>
        </w:rPr>
        <w:t>4.2.2</w:t>
      </w:r>
      <w:r>
        <w:rPr>
          <w:rFonts w:hint="eastAsia" w:ascii="宋体" w:hAnsi="宋体"/>
          <w:sz w:val="24"/>
        </w:rPr>
        <w:t>.</w:t>
      </w:r>
      <w:r>
        <w:rPr>
          <w:rFonts w:hint="eastAsia" w:ascii="宋体" w:hAnsi="宋体"/>
          <w:sz w:val="24"/>
          <w:lang w:val="en-US" w:eastAsia="zh-CN"/>
        </w:rPr>
        <w:t>4</w:t>
      </w:r>
      <w:r>
        <w:rPr>
          <w:rFonts w:hint="eastAsia" w:ascii="宋体" w:hAnsi="宋体"/>
          <w:sz w:val="24"/>
        </w:rPr>
        <w:t xml:space="preserve"> 选用优质、磁致伸缩量较小的低损耗的冷轧晶粒取向高导磁硅钢片，</w:t>
      </w:r>
      <w:r>
        <w:rPr>
          <w:rFonts w:hint="eastAsia" w:ascii="宋体" w:hAnsi="宋体"/>
          <w:color w:val="000000"/>
          <w:sz w:val="24"/>
        </w:rPr>
        <w:t>无毛刺，铁芯应压紧并采用浸漆分层绝缘以减少涡流损失。</w:t>
      </w:r>
      <w:r>
        <w:rPr>
          <w:rFonts w:hint="eastAsia" w:ascii="宋体" w:hAnsi="宋体"/>
          <w:sz w:val="24"/>
        </w:rPr>
        <w:t>铁芯结构采用单片、四步进、纵向阶梯叠片方式，来改善铁芯转角处的磁通分布。</w:t>
      </w:r>
      <w:r>
        <w:rPr>
          <w:rFonts w:hint="eastAsia" w:ascii="宋体" w:hAnsi="宋体"/>
          <w:color w:val="000000"/>
          <w:sz w:val="24"/>
        </w:rPr>
        <w:t>铁芯的磁通密度选择应使变压器在强迫风冷运行时，不会饱和。</w:t>
      </w:r>
    </w:p>
    <w:p w14:paraId="261CDDA8">
      <w:pPr>
        <w:numPr>
          <w:ilvl w:val="0"/>
          <w:numId w:val="0"/>
        </w:numPr>
        <w:spacing w:line="360" w:lineRule="auto"/>
        <w:ind w:leftChars="0" w:right="-80" w:rightChars="-38"/>
        <w:rPr>
          <w:rFonts w:hint="eastAsia" w:ascii="宋体" w:hAnsi="宋体"/>
          <w:color w:val="000000"/>
          <w:sz w:val="24"/>
        </w:rPr>
      </w:pPr>
      <w:r>
        <w:rPr>
          <w:rFonts w:hint="eastAsia" w:ascii="宋体" w:hAnsi="宋体" w:eastAsiaTheme="minorEastAsia" w:cstheme="minorBidi"/>
          <w:kern w:val="2"/>
          <w:sz w:val="24"/>
          <w:szCs w:val="24"/>
          <w:lang w:val="en-US" w:eastAsia="zh-CN" w:bidi="ar-SA"/>
        </w:rPr>
        <w:t>4.2.2</w:t>
      </w:r>
      <w:r>
        <w:rPr>
          <w:rFonts w:hint="eastAsia" w:ascii="宋体" w:hAnsi="宋体"/>
          <w:color w:val="000000"/>
          <w:sz w:val="24"/>
          <w:lang w:val="en-US" w:eastAsia="zh-CN"/>
        </w:rPr>
        <w:t>.5</w:t>
      </w:r>
      <w:r>
        <w:rPr>
          <w:rFonts w:hint="eastAsia" w:ascii="宋体" w:hAnsi="宋体"/>
          <w:color w:val="000000"/>
          <w:sz w:val="24"/>
        </w:rPr>
        <w:t>变压器采用阻燃树脂绝缘，真空浇注，绝缘水平为F级。绝缘按连续运行设计。当变压器按最大额定容量运行时，其最高温升不应超过</w:t>
      </w:r>
      <w:r>
        <w:rPr>
          <w:rFonts w:ascii="宋体" w:hAnsi="宋体"/>
          <w:color w:val="000000"/>
          <w:sz w:val="24"/>
        </w:rPr>
        <w:t>80</w:t>
      </w:r>
      <w:r>
        <w:rPr>
          <w:rFonts w:hint="eastAsia" w:ascii="宋体" w:hAnsi="宋体"/>
          <w:color w:val="000000"/>
          <w:sz w:val="24"/>
        </w:rPr>
        <w:t>K。</w:t>
      </w:r>
      <w:r>
        <w:rPr>
          <w:rFonts w:hint="eastAsia"/>
          <w:color w:val="000000"/>
          <w:sz w:val="24"/>
        </w:rPr>
        <w:t>由于</w:t>
      </w:r>
      <w:r>
        <w:rPr>
          <w:rFonts w:hint="eastAsia" w:ascii="宋体" w:hAnsi="宋体"/>
          <w:color w:val="000000"/>
          <w:sz w:val="24"/>
        </w:rPr>
        <w:t>项目</w:t>
      </w:r>
      <w:r>
        <w:rPr>
          <w:rFonts w:hint="eastAsia"/>
          <w:color w:val="000000"/>
          <w:sz w:val="24"/>
        </w:rPr>
        <w:t>地处潮湿的海边，空气湿度大且有腐蚀性，投标方应采用有效措施防止</w:t>
      </w:r>
      <w:r>
        <w:rPr>
          <w:rFonts w:hint="eastAsia" w:ascii="宋体" w:hAnsi="宋体"/>
          <w:sz w:val="24"/>
        </w:rPr>
        <w:t>变压器受潮和腐蚀，并在投标时提供有关说明和证明。</w:t>
      </w:r>
      <w:r>
        <w:rPr>
          <w:rFonts w:hint="eastAsia" w:ascii="宋体" w:hAnsi="宋体"/>
          <w:color w:val="000000"/>
          <w:sz w:val="24"/>
        </w:rPr>
        <w:t>变压器绝缘应有较高的热容性，使变压器负荷变化时，温度变化缓慢，减少热应力对绝缘的破坏。</w:t>
      </w:r>
    </w:p>
    <w:p w14:paraId="29D39EA5">
      <w:pPr>
        <w:numPr>
          <w:ilvl w:val="0"/>
          <w:numId w:val="0"/>
        </w:numPr>
        <w:spacing w:line="360" w:lineRule="auto"/>
        <w:ind w:leftChars="0" w:right="-80" w:rightChars="-38"/>
        <w:rPr>
          <w:rFonts w:hint="eastAsia" w:ascii="宋体" w:hAnsi="宋体"/>
          <w:color w:val="000000"/>
          <w:sz w:val="24"/>
        </w:rPr>
      </w:pPr>
      <w:r>
        <w:rPr>
          <w:rFonts w:hint="eastAsia" w:ascii="宋体" w:hAnsi="宋体" w:eastAsiaTheme="minorEastAsia" w:cstheme="minorBidi"/>
          <w:kern w:val="2"/>
          <w:sz w:val="24"/>
          <w:szCs w:val="24"/>
          <w:lang w:val="en-US" w:eastAsia="zh-CN" w:bidi="ar-SA"/>
        </w:rPr>
        <w:t>4.2.2</w:t>
      </w:r>
      <w:r>
        <w:rPr>
          <w:rFonts w:hint="eastAsia" w:ascii="宋体" w:hAnsi="宋体"/>
          <w:color w:val="000000"/>
          <w:sz w:val="24"/>
          <w:lang w:val="en-US" w:eastAsia="zh-CN"/>
        </w:rPr>
        <w:t>.6</w:t>
      </w:r>
      <w:r>
        <w:rPr>
          <w:rFonts w:hint="eastAsia" w:ascii="宋体" w:hAnsi="宋体"/>
          <w:color w:val="000000"/>
          <w:sz w:val="24"/>
        </w:rPr>
        <w:t>变压器铁芯和金属件均应可靠接地(铁轭螺杆除外)，接地处应有明显接地符号或“接地”</w:t>
      </w:r>
      <w:r>
        <w:rPr>
          <w:rFonts w:ascii="宋体" w:hAnsi="宋体"/>
          <w:color w:val="000000"/>
          <w:sz w:val="24"/>
        </w:rPr>
        <w:t xml:space="preserve"> </w:t>
      </w:r>
      <w:r>
        <w:rPr>
          <w:rFonts w:hint="eastAsia" w:ascii="宋体" w:hAnsi="宋体"/>
          <w:color w:val="000000"/>
          <w:sz w:val="24"/>
        </w:rPr>
        <w:t>字样。变压器铁芯和金属件需有防腐蚀的保护层。</w:t>
      </w:r>
    </w:p>
    <w:p w14:paraId="030779D9">
      <w:pPr>
        <w:numPr>
          <w:ilvl w:val="0"/>
          <w:numId w:val="0"/>
        </w:numPr>
        <w:spacing w:line="360" w:lineRule="auto"/>
        <w:ind w:leftChars="0" w:right="-80" w:rightChars="-38"/>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ascii="宋体" w:hAnsi="宋体"/>
          <w:sz w:val="24"/>
          <w:lang w:val="en-US" w:eastAsia="zh-CN"/>
        </w:rPr>
        <w:t>.7</w:t>
      </w:r>
      <w:r>
        <w:rPr>
          <w:rFonts w:hint="eastAsia" w:ascii="宋体" w:hAnsi="宋体"/>
          <w:sz w:val="24"/>
        </w:rPr>
        <w:t>变压器高压绕组采用优质(无氧)铜质材料作导体。绕组设计使电流和温度沿绕组均匀分布，并使绕组在雷电冲击全波试验时得到最佳的电位分布。变压器高压线圈采用包封铜线绕制，低压线圈采用铜箔绕制。</w:t>
      </w:r>
    </w:p>
    <w:p w14:paraId="70A45B3B">
      <w:pPr>
        <w:numPr>
          <w:ilvl w:val="0"/>
          <w:numId w:val="0"/>
        </w:numPr>
        <w:spacing w:line="360" w:lineRule="auto"/>
        <w:ind w:leftChars="0" w:right="-80" w:rightChars="-38"/>
        <w:rPr>
          <w:rFonts w:hint="eastAsia" w:ascii="宋体" w:hAnsi="宋体"/>
          <w:color w:val="000000"/>
          <w:sz w:val="24"/>
        </w:rPr>
      </w:pPr>
      <w:r>
        <w:rPr>
          <w:rFonts w:hint="eastAsia" w:ascii="宋体" w:hAnsi="宋体" w:eastAsiaTheme="minorEastAsia" w:cstheme="minorBidi"/>
          <w:kern w:val="2"/>
          <w:sz w:val="24"/>
          <w:szCs w:val="24"/>
          <w:lang w:val="en-US" w:eastAsia="zh-CN" w:bidi="ar-SA"/>
        </w:rPr>
        <w:t>4.2.2</w:t>
      </w:r>
      <w:r>
        <w:rPr>
          <w:rFonts w:hint="eastAsia" w:ascii="宋体" w:hAnsi="宋体"/>
          <w:color w:val="000000"/>
          <w:sz w:val="24"/>
          <w:lang w:val="en-US" w:eastAsia="zh-CN"/>
        </w:rPr>
        <w:t>.8</w:t>
      </w:r>
      <w:r>
        <w:rPr>
          <w:rFonts w:hint="eastAsia" w:ascii="宋体" w:hAnsi="宋体"/>
          <w:color w:val="000000"/>
          <w:sz w:val="24"/>
        </w:rPr>
        <w:t>变压器除中性点导体外，还应提供专用的铜接地母线，接地母线一端为双孔端子板，接地端子板设置在变压器下方，离地高度不大于300mm。接地母线截面不小于50×5mm</w:t>
      </w:r>
      <w:r>
        <w:rPr>
          <w:rFonts w:hint="eastAsia" w:ascii="宋体" w:hAnsi="宋体"/>
          <w:color w:val="000000"/>
          <w:sz w:val="24"/>
          <w:vertAlign w:val="superscript"/>
        </w:rPr>
        <w:t>2</w:t>
      </w:r>
      <w:r>
        <w:rPr>
          <w:rFonts w:hint="eastAsia" w:ascii="宋体" w:hAnsi="宋体"/>
          <w:color w:val="000000"/>
          <w:sz w:val="24"/>
        </w:rPr>
        <w:t>。</w:t>
      </w:r>
    </w:p>
    <w:p w14:paraId="66F75EDB">
      <w:pPr>
        <w:numPr>
          <w:ilvl w:val="0"/>
          <w:numId w:val="0"/>
        </w:numPr>
        <w:spacing w:line="360" w:lineRule="auto"/>
        <w:ind w:leftChars="0" w:right="-80" w:rightChars="-38"/>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ascii="宋体" w:hAnsi="宋体"/>
          <w:color w:val="000000"/>
          <w:sz w:val="24"/>
          <w:lang w:val="en-US" w:eastAsia="zh-CN"/>
        </w:rPr>
        <w:t>.9变压器柜</w:t>
      </w:r>
      <w:r>
        <w:rPr>
          <w:rFonts w:hint="eastAsia"/>
          <w:color w:val="000000"/>
          <w:sz w:val="24"/>
        </w:rPr>
        <w:t>与低压开关柜布置于</w:t>
      </w:r>
      <w:r>
        <w:rPr>
          <w:rFonts w:hint="eastAsia"/>
          <w:color w:val="000000"/>
          <w:sz w:val="24"/>
          <w:lang w:val="en-US" w:eastAsia="zh-CN"/>
        </w:rPr>
        <w:t>箱式变电站</w:t>
      </w:r>
      <w:r>
        <w:rPr>
          <w:rFonts w:hint="eastAsia"/>
          <w:color w:val="000000"/>
          <w:sz w:val="24"/>
        </w:rPr>
        <w:t>内、柜前平齐、成一列布置，变压器低压母线应与低压开关柜母线连接，变压器与低压开关柜连接的所有母线（包括A、B、C、N、PE等）应为矩形铜母线，母线应进行热缩处理，并标明相别。</w:t>
      </w:r>
    </w:p>
    <w:p w14:paraId="63A44EF1">
      <w:pPr>
        <w:numPr>
          <w:ilvl w:val="0"/>
          <w:numId w:val="0"/>
        </w:numPr>
        <w:spacing w:line="360" w:lineRule="auto"/>
        <w:ind w:leftChars="0" w:right="-80" w:rightChars="-38"/>
        <w:rPr>
          <w:rFonts w:ascii="宋体" w:hAnsi="宋体"/>
          <w:sz w:val="24"/>
        </w:rPr>
      </w:pPr>
      <w:r>
        <w:rPr>
          <w:rFonts w:hint="eastAsia" w:ascii="宋体" w:hAnsi="宋体" w:eastAsiaTheme="minorEastAsia" w:cstheme="minorBidi"/>
          <w:kern w:val="2"/>
          <w:sz w:val="24"/>
          <w:szCs w:val="24"/>
          <w:lang w:val="en-US" w:eastAsia="zh-CN" w:bidi="ar-SA"/>
        </w:rPr>
        <w:t>4.2.2</w:t>
      </w:r>
      <w:r>
        <w:rPr>
          <w:rFonts w:hint="eastAsia" w:ascii="宋体" w:hAnsi="宋体"/>
          <w:sz w:val="24"/>
          <w:lang w:val="en-US" w:eastAsia="zh-CN"/>
        </w:rPr>
        <w:t>.10</w:t>
      </w:r>
      <w:r>
        <w:rPr>
          <w:rFonts w:hint="eastAsia" w:ascii="宋体" w:hAnsi="宋体"/>
          <w:sz w:val="24"/>
        </w:rPr>
        <w:t>高压绕组均采用分段圆筒式结构和薄绝缘技术，采用优质无氧铜导线缠绕、玻璃纤维增强、薄绝缘、树脂加填料、预埋树脂散热气道、真空状态下浸渍式浇注、按特定的温度曲线固化成型。要求在浇注的过程中首先对高压线圈进行真空干燥，除去绝缘中的水分和气体，与此同时对环氧树脂和固化剂等材料进行真空脱气处理，并通过计算机控制按设定的比例压入静态混料器中，然后在真空状态下注入线圈中，浇注结束后，在烘炉中高温固化。使线圈具有外表美观光亮，绝缘性能好，局放小，抗短路能力强，在高温运行时，线圈表面不出现龟裂。</w:t>
      </w:r>
    </w:p>
    <w:p w14:paraId="36B07711">
      <w:pPr>
        <w:numPr>
          <w:ilvl w:val="0"/>
          <w:numId w:val="0"/>
        </w:numPr>
        <w:spacing w:line="360" w:lineRule="auto"/>
        <w:ind w:leftChars="0" w:right="-80" w:rightChars="-38"/>
        <w:rPr>
          <w:rFonts w:ascii="宋体" w:hAnsi="宋体"/>
          <w:b/>
          <w:sz w:val="24"/>
        </w:rPr>
      </w:pPr>
      <w:r>
        <w:rPr>
          <w:rFonts w:hint="eastAsia" w:ascii="宋体" w:hAnsi="宋体" w:eastAsiaTheme="minorEastAsia" w:cstheme="minorBidi"/>
          <w:kern w:val="2"/>
          <w:sz w:val="24"/>
          <w:szCs w:val="24"/>
          <w:lang w:val="en-US" w:eastAsia="zh-CN" w:bidi="ar-SA"/>
        </w:rPr>
        <w:t>4.2.2</w:t>
      </w:r>
      <w:r>
        <w:rPr>
          <w:rFonts w:hint="eastAsia" w:ascii="宋体" w:hAnsi="宋体"/>
          <w:sz w:val="24"/>
          <w:lang w:val="en-US" w:eastAsia="zh-CN"/>
        </w:rPr>
        <w:t>.11</w:t>
      </w:r>
      <w:r>
        <w:rPr>
          <w:rFonts w:hint="eastAsia" w:ascii="宋体" w:hAnsi="宋体"/>
          <w:sz w:val="24"/>
        </w:rPr>
        <w:t>低压绕组采用</w:t>
      </w:r>
      <w:r>
        <w:rPr>
          <w:rFonts w:hint="eastAsia" w:ascii="宋体" w:hAnsi="宋体"/>
          <w:sz w:val="24"/>
          <w:u w:val="none" w:color="00FF00"/>
        </w:rPr>
        <w:t>箔式</w:t>
      </w:r>
      <w:r>
        <w:rPr>
          <w:rFonts w:hint="eastAsia" w:ascii="宋体" w:hAnsi="宋体"/>
          <w:sz w:val="24"/>
        </w:rPr>
        <w:t>结构，圆边铜箔与预浸绝缘材料（层间绝缘、端绝缘）紧密绕制，经过预热干燥后转入环氧树脂浇注设备中进行真空干燥，在真空状态下经高温固化成形。线圈安匝平衡性好，机械强度高，抗短路能力强。</w:t>
      </w:r>
    </w:p>
    <w:p w14:paraId="7C992BC9">
      <w:pPr>
        <w:numPr>
          <w:ilvl w:val="0"/>
          <w:numId w:val="0"/>
        </w:numPr>
        <w:spacing w:line="360" w:lineRule="auto"/>
        <w:ind w:leftChars="0" w:right="-80" w:rightChars="-38"/>
        <w:rPr>
          <w:rFonts w:ascii="宋体" w:hAnsi="宋体"/>
          <w:sz w:val="24"/>
        </w:rPr>
      </w:pPr>
      <w:r>
        <w:rPr>
          <w:rFonts w:hint="eastAsia" w:ascii="宋体" w:hAnsi="宋体" w:eastAsiaTheme="minorEastAsia" w:cstheme="minorBidi"/>
          <w:kern w:val="2"/>
          <w:sz w:val="24"/>
          <w:szCs w:val="24"/>
          <w:lang w:val="en-US" w:eastAsia="zh-CN" w:bidi="ar-SA"/>
        </w:rPr>
        <w:t>4.2.2</w:t>
      </w:r>
      <w:r>
        <w:rPr>
          <w:rFonts w:hint="eastAsia" w:ascii="宋体" w:hAnsi="宋体"/>
          <w:sz w:val="24"/>
          <w:lang w:val="en-US" w:eastAsia="zh-CN"/>
        </w:rPr>
        <w:t>.12</w:t>
      </w:r>
      <w:r>
        <w:rPr>
          <w:rFonts w:hint="eastAsia" w:ascii="宋体" w:hAnsi="宋体"/>
          <w:sz w:val="24"/>
        </w:rPr>
        <w:t>绕组性能要求</w:t>
      </w:r>
    </w:p>
    <w:p w14:paraId="2435CD0F">
      <w:pPr>
        <w:spacing w:line="360" w:lineRule="auto"/>
        <w:ind w:left="1680" w:right="-80" w:rightChars="-38" w:hanging="1680" w:hangingChars="700"/>
        <w:rPr>
          <w:rFonts w:hint="eastAsia" w:ascii="宋体" w:hAnsi="宋体"/>
          <w:sz w:val="24"/>
        </w:rPr>
      </w:pPr>
      <w:r>
        <w:rPr>
          <w:rFonts w:hint="eastAsia" w:ascii="宋体" w:hAnsi="宋体"/>
          <w:sz w:val="24"/>
        </w:rPr>
        <w:t>a) 耐冲击能力：变压器高压绕组采用分段圆筒式结构，改善层间电压的分布，提高耐受大气过电压和操作过电压的冲击强度。</w:t>
      </w:r>
    </w:p>
    <w:p w14:paraId="38B2F9D8">
      <w:pPr>
        <w:spacing w:line="360" w:lineRule="auto"/>
        <w:ind w:left="1560" w:right="-80" w:rightChars="-38" w:hanging="1560" w:hangingChars="650"/>
        <w:rPr>
          <w:rFonts w:hint="eastAsia" w:ascii="宋体" w:hAnsi="宋体"/>
          <w:sz w:val="24"/>
        </w:rPr>
      </w:pPr>
      <w:r>
        <w:rPr>
          <w:rFonts w:hint="eastAsia" w:ascii="宋体" w:hAnsi="宋体"/>
          <w:sz w:val="24"/>
        </w:rPr>
        <w:t>b) 电场分布：线绕浇注式绕组采用优质无氧铜杆经多次冷拉成矩形的线材，其面与面的交接处做成较大的圆弧状，而不存在尖角毛刺，使绕组内导线沿面处电场分布较为均匀，畸变系数小，线绕浇注式局放量≤5pC。</w:t>
      </w:r>
    </w:p>
    <w:p w14:paraId="0CE01F9F">
      <w:pPr>
        <w:spacing w:line="360" w:lineRule="auto"/>
        <w:ind w:left="1560" w:right="-80" w:rightChars="-38" w:hanging="1560" w:hangingChars="650"/>
        <w:rPr>
          <w:rFonts w:ascii="宋体" w:hAnsi="宋体"/>
          <w:sz w:val="24"/>
        </w:rPr>
      </w:pPr>
      <w:r>
        <w:rPr>
          <w:rFonts w:hint="eastAsia" w:ascii="宋体" w:hAnsi="宋体"/>
          <w:sz w:val="24"/>
        </w:rPr>
        <w:t>c) 散热效果：采用优质纯树脂与玻璃纤维构成的复合绝缘，具有极高的电气强度和机械强度，提高绕组表面的散热效率。散热气道轴向多层设置，从而在结构上保证绕组内导线有一个散热面的要求，对整个绕组讲基本上达到了产热与散热的均匀平衡。</w:t>
      </w:r>
    </w:p>
    <w:p w14:paraId="36DAF3D6">
      <w:pPr>
        <w:spacing w:line="360" w:lineRule="auto"/>
        <w:ind w:left="1680" w:right="-80" w:rightChars="-38" w:hanging="1680" w:hangingChars="700"/>
        <w:rPr>
          <w:rFonts w:hint="eastAsia" w:ascii="宋体" w:hAnsi="宋体"/>
          <w:sz w:val="24"/>
        </w:rPr>
      </w:pPr>
      <w:r>
        <w:rPr>
          <w:rFonts w:hint="eastAsia" w:ascii="宋体" w:hAnsi="宋体"/>
          <w:sz w:val="24"/>
        </w:rPr>
        <w:t>d) 抗短路能力：采用分段圆筒式绕组，无论绕组的层间、匝间、段间均一次性浸透树脂。固化后，树脂、导线、玻璃纤维紧密地结合，构成坚固。</w:t>
      </w:r>
    </w:p>
    <w:p w14:paraId="0261B057">
      <w:pPr>
        <w:spacing w:line="360" w:lineRule="auto"/>
        <w:ind w:left="1680" w:right="-80" w:rightChars="-38" w:hanging="1680" w:hangingChars="700"/>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ascii="宋体" w:hAnsi="宋体"/>
          <w:sz w:val="24"/>
          <w:lang w:val="en-US" w:eastAsia="zh-CN"/>
        </w:rPr>
        <w:t>.13</w:t>
      </w:r>
      <w:r>
        <w:rPr>
          <w:rFonts w:hint="eastAsia" w:ascii="宋体" w:hAnsi="宋体"/>
          <w:sz w:val="24"/>
        </w:rPr>
        <w:t>变压器结构</w:t>
      </w:r>
    </w:p>
    <w:p w14:paraId="6BB16656">
      <w:pPr>
        <w:numPr>
          <w:ilvl w:val="0"/>
          <w:numId w:val="7"/>
        </w:numPr>
        <w:spacing w:line="360" w:lineRule="auto"/>
        <w:ind w:right="-80" w:rightChars="-38"/>
        <w:rPr>
          <w:rFonts w:hint="eastAsia"/>
          <w:color w:val="000000"/>
          <w:sz w:val="24"/>
        </w:rPr>
      </w:pPr>
      <w:r>
        <w:rPr>
          <w:rFonts w:hint="eastAsia"/>
          <w:color w:val="000000"/>
          <w:sz w:val="24"/>
        </w:rPr>
        <w:t>变压器的钢结构、外壳及所有不载流部件均应与接地母线连接。</w:t>
      </w:r>
    </w:p>
    <w:p w14:paraId="34B5354D">
      <w:pPr>
        <w:numPr>
          <w:ilvl w:val="0"/>
          <w:numId w:val="7"/>
        </w:numPr>
        <w:snapToGrid w:val="0"/>
        <w:spacing w:line="360" w:lineRule="auto"/>
        <w:rPr>
          <w:rFonts w:hint="eastAsia"/>
          <w:color w:val="000000"/>
          <w:sz w:val="24"/>
        </w:rPr>
      </w:pPr>
      <w:r>
        <w:rPr>
          <w:rFonts w:hint="eastAsia"/>
          <w:color w:val="000000"/>
          <w:sz w:val="24"/>
        </w:rPr>
        <w:t>变压器的钢结构除应有足够的强度和刚度外，还应有有效的减震措施，降低空气间隙的共鸣和变压器的振动。</w:t>
      </w:r>
    </w:p>
    <w:p w14:paraId="74F715ED">
      <w:pPr>
        <w:numPr>
          <w:ilvl w:val="0"/>
          <w:numId w:val="7"/>
        </w:numPr>
        <w:snapToGrid w:val="0"/>
        <w:spacing w:line="360" w:lineRule="auto"/>
        <w:rPr>
          <w:rFonts w:hint="eastAsia"/>
          <w:color w:val="000000"/>
          <w:sz w:val="24"/>
        </w:rPr>
      </w:pPr>
      <w:r>
        <w:rPr>
          <w:rFonts w:hint="eastAsia"/>
          <w:color w:val="000000"/>
          <w:sz w:val="24"/>
        </w:rPr>
        <w:t>变压器应配备起重用吊环。</w:t>
      </w:r>
    </w:p>
    <w:p w14:paraId="5B04BBEC">
      <w:pPr>
        <w:numPr>
          <w:ilvl w:val="0"/>
          <w:numId w:val="7"/>
        </w:numPr>
        <w:snapToGrid w:val="0"/>
        <w:spacing w:line="360" w:lineRule="auto"/>
        <w:rPr>
          <w:rFonts w:hint="eastAsia"/>
          <w:color w:val="000000"/>
          <w:sz w:val="24"/>
        </w:rPr>
      </w:pPr>
      <w:r>
        <w:rPr>
          <w:rFonts w:hint="eastAsia"/>
          <w:color w:val="000000"/>
          <w:sz w:val="24"/>
        </w:rPr>
        <w:t>变压器不带小车。</w:t>
      </w:r>
    </w:p>
    <w:p w14:paraId="06E6A5E5">
      <w:pPr>
        <w:numPr>
          <w:ilvl w:val="0"/>
          <w:numId w:val="7"/>
        </w:numPr>
        <w:snapToGrid w:val="0"/>
        <w:spacing w:line="360" w:lineRule="auto"/>
        <w:rPr>
          <w:rFonts w:hint="eastAsia"/>
          <w:color w:val="000000"/>
          <w:sz w:val="24"/>
        </w:rPr>
      </w:pPr>
      <w:r>
        <w:rPr>
          <w:rFonts w:hint="eastAsia"/>
          <w:color w:val="000000"/>
          <w:sz w:val="24"/>
        </w:rPr>
        <w:t>变压器高压侧电缆从底部引接，卖方应在其高压侧配备固定电缆头的支架。</w:t>
      </w:r>
    </w:p>
    <w:p w14:paraId="0F62A767">
      <w:pPr>
        <w:numPr>
          <w:ilvl w:val="0"/>
          <w:numId w:val="7"/>
        </w:numPr>
        <w:snapToGrid w:val="0"/>
        <w:spacing w:line="360" w:lineRule="auto"/>
        <w:rPr>
          <w:rFonts w:hint="eastAsia"/>
          <w:sz w:val="24"/>
        </w:rPr>
      </w:pPr>
      <w:r>
        <w:rPr>
          <w:rFonts w:hint="eastAsia"/>
          <w:color w:val="000000"/>
          <w:sz w:val="24"/>
        </w:rPr>
        <w:t>变压器应成套提供中性点零序电流互感器（</w:t>
      </w:r>
      <w:r>
        <w:rPr>
          <w:rFonts w:hint="eastAsia" w:ascii="宋体" w:hAnsi="宋体"/>
          <w:sz w:val="24"/>
        </w:rPr>
        <w:t>二次电流为1A，二次容量不小于20VA</w:t>
      </w:r>
      <w:r>
        <w:rPr>
          <w:rFonts w:hint="eastAsia"/>
          <w:sz w:val="24"/>
        </w:rPr>
        <w:t>），零序电流互感器应为母线式，变压器</w:t>
      </w:r>
      <w:r>
        <w:rPr>
          <w:rFonts w:hint="eastAsia"/>
          <w:color w:val="000000"/>
          <w:sz w:val="24"/>
        </w:rPr>
        <w:t>组装时即安装在中性点母线上，电流互感器用专用支架固定，其形式应便于二次电缆的引上和连接。</w:t>
      </w:r>
      <w:r>
        <w:rPr>
          <w:rFonts w:hint="eastAsia" w:ascii="宋体" w:hAnsi="宋体"/>
          <w:sz w:val="24"/>
        </w:rPr>
        <w:t>零序CT的二次输出引至变压器控制箱的独立端子排。</w:t>
      </w:r>
    </w:p>
    <w:p w14:paraId="7EF204A8">
      <w:pPr>
        <w:spacing w:line="360" w:lineRule="auto"/>
        <w:ind w:left="1680" w:right="-80" w:rightChars="-38" w:hanging="1680" w:hangingChars="700"/>
        <w:rPr>
          <w:rFonts w:hint="eastAsia"/>
          <w:color w:val="000000"/>
          <w:sz w:val="24"/>
        </w:rPr>
      </w:pPr>
      <w:r>
        <w:rPr>
          <w:rFonts w:hint="eastAsia" w:ascii="宋体" w:hAnsi="宋体" w:eastAsiaTheme="minorEastAsia" w:cstheme="minorBidi"/>
          <w:kern w:val="2"/>
          <w:sz w:val="24"/>
          <w:szCs w:val="24"/>
          <w:lang w:val="en-US" w:eastAsia="zh-CN" w:bidi="ar-SA"/>
        </w:rPr>
        <w:t>4.2.2</w:t>
      </w:r>
      <w:r>
        <w:rPr>
          <w:rFonts w:hint="eastAsia" w:ascii="宋体" w:hAnsi="宋体"/>
          <w:sz w:val="24"/>
          <w:lang w:val="en-US" w:eastAsia="zh-CN"/>
        </w:rPr>
        <w:t>.14</w:t>
      </w:r>
      <w:r>
        <w:rPr>
          <w:rFonts w:hint="eastAsia"/>
          <w:color w:val="000000"/>
          <w:sz w:val="24"/>
        </w:rPr>
        <w:t>干式变压器柜</w:t>
      </w:r>
    </w:p>
    <w:p w14:paraId="6A870395">
      <w:pPr>
        <w:numPr>
          <w:ilvl w:val="0"/>
          <w:numId w:val="8"/>
        </w:numPr>
        <w:spacing w:line="360" w:lineRule="auto"/>
        <w:ind w:right="-80" w:rightChars="-38"/>
        <w:rPr>
          <w:rFonts w:hint="eastAsia"/>
          <w:color w:val="000000"/>
          <w:sz w:val="24"/>
        </w:rPr>
      </w:pPr>
      <w:r>
        <w:rPr>
          <w:rFonts w:hint="eastAsia"/>
          <w:color w:val="000000"/>
          <w:sz w:val="24"/>
        </w:rPr>
        <w:t>各干式变压器应配套提供干式变压器柜，变压器柜前后柜均设门，以方便检修和维护，变压器柜的防护等级为IP</w:t>
      </w:r>
      <w:r>
        <w:rPr>
          <w:rFonts w:hint="eastAsia"/>
          <w:color w:val="000000"/>
          <w:sz w:val="24"/>
          <w:lang w:val="en-US" w:eastAsia="zh-CN"/>
        </w:rPr>
        <w:t>3</w:t>
      </w:r>
      <w:r>
        <w:rPr>
          <w:rFonts w:hint="eastAsia"/>
          <w:color w:val="000000"/>
          <w:sz w:val="24"/>
        </w:rPr>
        <w:t>3。变压器柜的门在变压器带电时应闭锁。为运行的安全考虑，门把手设计成可加挂挂锁样式（方便使用微机“五防”的编码程序锁）。要求在变压器柜柜门内侧再设一道网门，网孔不大于12x12mm。操作时需打开变压器柜柜门后，再开启网门，方能接触到变压器。柜上装带电显示装置。</w:t>
      </w:r>
    </w:p>
    <w:p w14:paraId="035A6DC2">
      <w:pPr>
        <w:numPr>
          <w:ilvl w:val="0"/>
          <w:numId w:val="8"/>
        </w:numPr>
        <w:spacing w:line="360" w:lineRule="auto"/>
        <w:ind w:right="-80" w:rightChars="-38"/>
        <w:rPr>
          <w:rFonts w:hint="eastAsia"/>
          <w:color w:val="000000"/>
          <w:sz w:val="24"/>
        </w:rPr>
      </w:pPr>
      <w:r>
        <w:rPr>
          <w:rFonts w:hint="eastAsia"/>
          <w:color w:val="000000"/>
          <w:sz w:val="24"/>
        </w:rPr>
        <w:t>变压器高压侧电缆从底部引接，因此变压器柜的结构设计应保证电缆能在本体和外壳之间引上。干式变柜低压侧各铜母线（包括工作母线、中性线母线、接地母线等）应引至干式变柜与低压开关柜连接处，以备与低压开关柜各对应母线相连接，</w:t>
      </w:r>
      <w:r>
        <w:rPr>
          <w:rFonts w:hint="eastAsia" w:ascii="宋体" w:hAnsi="宋体"/>
          <w:sz w:val="24"/>
        </w:rPr>
        <w:t>在搭接部位要求搪锡或镀银</w:t>
      </w:r>
      <w:r>
        <w:rPr>
          <w:rFonts w:hint="eastAsia"/>
          <w:color w:val="000000"/>
          <w:sz w:val="24"/>
        </w:rPr>
        <w:t>。上述各铜母线均由投标方提供，工作母线截面应满足变压器最大输出容量的要求，中性线母线截面不应小于工作母线的1/2。</w:t>
      </w:r>
    </w:p>
    <w:p w14:paraId="6A4DB1E1">
      <w:pPr>
        <w:pStyle w:val="7"/>
        <w:numPr>
          <w:ilvl w:val="0"/>
          <w:numId w:val="8"/>
        </w:numPr>
        <w:adjustRightInd/>
        <w:snapToGrid w:val="0"/>
        <w:spacing w:line="360" w:lineRule="auto"/>
        <w:textAlignment w:val="auto"/>
        <w:rPr>
          <w:rFonts w:hint="eastAsia" w:ascii="Times New Roman"/>
          <w:color w:val="000000"/>
          <w:kern w:val="2"/>
          <w:szCs w:val="24"/>
        </w:rPr>
      </w:pPr>
      <w:r>
        <w:rPr>
          <w:rFonts w:hint="eastAsia" w:ascii="Times New Roman"/>
          <w:color w:val="000000"/>
          <w:kern w:val="2"/>
          <w:szCs w:val="24"/>
        </w:rPr>
        <w:t>安装和固定引出线端子板及母线的支柱或绝缘子的部件应有足够的强度，防止短路产生电动力使其破坏或发生位移。</w:t>
      </w:r>
    </w:p>
    <w:p w14:paraId="38DF79E8">
      <w:pPr>
        <w:pStyle w:val="7"/>
        <w:numPr>
          <w:ilvl w:val="0"/>
          <w:numId w:val="8"/>
        </w:numPr>
        <w:adjustRightInd/>
        <w:snapToGrid w:val="0"/>
        <w:spacing w:line="360" w:lineRule="auto"/>
        <w:textAlignment w:val="auto"/>
        <w:rPr>
          <w:rFonts w:hint="eastAsia" w:ascii="Times New Roman"/>
          <w:color w:val="000000"/>
          <w:kern w:val="2"/>
          <w:szCs w:val="24"/>
        </w:rPr>
      </w:pPr>
      <w:r>
        <w:rPr>
          <w:rFonts w:hint="eastAsia" w:ascii="Times New Roman"/>
          <w:color w:val="000000"/>
          <w:kern w:val="2"/>
          <w:szCs w:val="24"/>
        </w:rPr>
        <w:t>变压器低压侧各母线应全部布置于变压器罩壳内，各母线的支持结构所需材料和绝缘子由投标方提供。</w:t>
      </w:r>
    </w:p>
    <w:p w14:paraId="5C6D4678">
      <w:pPr>
        <w:pStyle w:val="7"/>
        <w:numPr>
          <w:ilvl w:val="0"/>
          <w:numId w:val="8"/>
        </w:numPr>
        <w:adjustRightInd/>
        <w:snapToGrid w:val="0"/>
        <w:spacing w:line="360" w:lineRule="auto"/>
        <w:textAlignment w:val="auto"/>
        <w:rPr>
          <w:rFonts w:hint="eastAsia" w:ascii="Times New Roman"/>
          <w:color w:val="000000"/>
          <w:kern w:val="2"/>
          <w:szCs w:val="24"/>
        </w:rPr>
      </w:pPr>
      <w:r>
        <w:rPr>
          <w:rFonts w:hint="eastAsia" w:ascii="Times New Roman"/>
          <w:color w:val="000000"/>
          <w:kern w:val="2"/>
          <w:szCs w:val="24"/>
        </w:rPr>
        <w:t>低压母线穿出变压器保护外壳处应设置套管。</w:t>
      </w:r>
    </w:p>
    <w:p w14:paraId="3EBBC238">
      <w:pPr>
        <w:pStyle w:val="7"/>
        <w:numPr>
          <w:ilvl w:val="0"/>
          <w:numId w:val="8"/>
        </w:numPr>
        <w:adjustRightInd/>
        <w:snapToGrid w:val="0"/>
        <w:spacing w:line="360" w:lineRule="auto"/>
        <w:textAlignment w:val="auto"/>
        <w:rPr>
          <w:rFonts w:hint="eastAsia" w:ascii="Times New Roman"/>
          <w:color w:val="000000"/>
          <w:kern w:val="2"/>
          <w:szCs w:val="24"/>
        </w:rPr>
      </w:pPr>
      <w:r>
        <w:rPr>
          <w:rFonts w:hint="eastAsia" w:ascii="Times New Roman"/>
          <w:color w:val="000000"/>
          <w:kern w:val="2"/>
          <w:szCs w:val="24"/>
        </w:rPr>
        <w:t>干式变压器组柜的外形、设计应满足干式变安全工作的要求。</w:t>
      </w:r>
    </w:p>
    <w:p w14:paraId="29D5E64E">
      <w:pPr>
        <w:pStyle w:val="7"/>
        <w:numPr>
          <w:ilvl w:val="0"/>
          <w:numId w:val="8"/>
        </w:numPr>
        <w:adjustRightInd/>
        <w:snapToGrid w:val="0"/>
        <w:spacing w:line="360" w:lineRule="auto"/>
        <w:textAlignment w:val="auto"/>
        <w:rPr>
          <w:rFonts w:hint="eastAsia" w:ascii="Times New Roman"/>
          <w:color w:val="000000"/>
          <w:kern w:val="2"/>
          <w:szCs w:val="24"/>
        </w:rPr>
      </w:pPr>
      <w:r>
        <w:rPr>
          <w:rFonts w:hint="eastAsia" w:ascii="Times New Roman"/>
          <w:color w:val="000000"/>
          <w:kern w:val="2"/>
          <w:szCs w:val="24"/>
        </w:rPr>
        <w:t>干式变柜的颜色：国际灰，对应于国标色标RAL7032 色。（暂定）</w:t>
      </w:r>
    </w:p>
    <w:p w14:paraId="7270D99F">
      <w:pPr>
        <w:pStyle w:val="7"/>
        <w:numPr>
          <w:ilvl w:val="0"/>
          <w:numId w:val="8"/>
        </w:numPr>
        <w:adjustRightInd/>
        <w:snapToGrid w:val="0"/>
        <w:spacing w:line="360" w:lineRule="auto"/>
        <w:textAlignment w:val="auto"/>
        <w:rPr>
          <w:rFonts w:hint="eastAsia" w:ascii="Times New Roman"/>
          <w:color w:val="000000"/>
          <w:kern w:val="2"/>
          <w:szCs w:val="24"/>
        </w:rPr>
      </w:pPr>
      <w:r>
        <w:rPr>
          <w:rFonts w:hint="eastAsia" w:ascii="Times New Roman"/>
          <w:color w:val="000000"/>
          <w:kern w:val="2"/>
          <w:szCs w:val="24"/>
        </w:rPr>
        <w:t>干式变柜内均应提供由交流220V电源供电的照明装置、柜内空间加热器，加热器应有自己的安全防护罩，加热器应安装在柜内既不会损坏又不会对人员构成危险的地方。照明、加热器回路的短路保护设备、操作设备可采用小型断路器（ABB，西门子或施耐德公司产品），分别设置，微型断路器布置应方便就地操作。要求加热器可自动投切。投标方应在投标时明确加热器容量及上述断路器的安装位置。</w:t>
      </w:r>
    </w:p>
    <w:p w14:paraId="52AE7E4B">
      <w:pPr>
        <w:spacing w:line="360" w:lineRule="auto"/>
        <w:ind w:right="-80" w:rightChars="-38"/>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ascii="宋体" w:hAnsi="宋体"/>
          <w:sz w:val="24"/>
          <w:lang w:val="en-US" w:eastAsia="zh-CN"/>
        </w:rPr>
        <w:t>.15</w:t>
      </w:r>
      <w:r>
        <w:rPr>
          <w:rFonts w:hint="eastAsia" w:ascii="宋体" w:hAnsi="宋体"/>
          <w:sz w:val="24"/>
        </w:rPr>
        <w:t>变压器承受短路能力</w:t>
      </w:r>
    </w:p>
    <w:p w14:paraId="63113420">
      <w:pPr>
        <w:snapToGrid w:val="0"/>
        <w:spacing w:line="360" w:lineRule="auto"/>
        <w:ind w:firstLine="480" w:firstLineChars="200"/>
        <w:rPr>
          <w:rFonts w:ascii="宋体" w:hAnsi="宋体"/>
          <w:sz w:val="24"/>
        </w:rPr>
      </w:pPr>
      <w:r>
        <w:rPr>
          <w:rFonts w:hint="eastAsia" w:ascii="宋体" w:hAnsi="宋体"/>
          <w:sz w:val="24"/>
        </w:rPr>
        <w:t>当变压器高压套管侧出口三相短路（短路电流有效值约40kA，冲击电流约100kA），或当变压器低压套管侧出口三相短路，并且短路持续时间为2</w:t>
      </w:r>
      <w:r>
        <w:rPr>
          <w:rFonts w:ascii="宋体" w:hAnsi="宋体"/>
          <w:sz w:val="24"/>
        </w:rPr>
        <w:t>s</w:t>
      </w:r>
      <w:r>
        <w:rPr>
          <w:rFonts w:hint="eastAsia" w:ascii="宋体" w:hAnsi="宋体"/>
          <w:sz w:val="24"/>
        </w:rPr>
        <w:t>时，变压器本体外观应无损伤，绕组及铁芯等不应有破坏性的变形和位移，保证该变压器可继续运行。</w:t>
      </w:r>
    </w:p>
    <w:p w14:paraId="71EE1FB9">
      <w:pPr>
        <w:spacing w:after="120" w:afterLines="50" w:line="360" w:lineRule="auto"/>
        <w:ind w:right="-80" w:rightChars="-38"/>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ascii="宋体" w:hAnsi="宋体"/>
          <w:sz w:val="24"/>
          <w:lang w:val="en-US" w:eastAsia="zh-CN"/>
        </w:rPr>
        <w:t>.16</w:t>
      </w:r>
      <w:r>
        <w:rPr>
          <w:rFonts w:hint="eastAsia" w:ascii="宋体" w:hAnsi="宋体"/>
          <w:sz w:val="24"/>
        </w:rPr>
        <w:t>绝缘条件: 变压器的每一绕阻的绝缘水平和试验电压见下表。</w:t>
      </w:r>
    </w:p>
    <w:tbl>
      <w:tblPr>
        <w:tblStyle w:val="10"/>
        <w:tblW w:w="8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3060"/>
        <w:gridCol w:w="3780"/>
      </w:tblGrid>
      <w:tr w14:paraId="2839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6C8EDBCE">
            <w:pPr>
              <w:spacing w:line="360" w:lineRule="auto"/>
              <w:ind w:right="-80" w:rightChars="-38"/>
              <w:jc w:val="center"/>
              <w:rPr>
                <w:rFonts w:hint="eastAsia" w:ascii="幼圆"/>
                <w:bCs/>
                <w:color w:val="000000"/>
                <w:szCs w:val="21"/>
              </w:rPr>
            </w:pPr>
            <w:r>
              <w:rPr>
                <w:rFonts w:hint="eastAsia" w:ascii="幼圆"/>
                <w:bCs/>
                <w:color w:val="000000"/>
                <w:szCs w:val="21"/>
              </w:rPr>
              <w:t>绕组</w:t>
            </w:r>
          </w:p>
        </w:tc>
        <w:tc>
          <w:tcPr>
            <w:tcW w:w="3060" w:type="dxa"/>
            <w:noWrap w:val="0"/>
            <w:vAlign w:val="center"/>
          </w:tcPr>
          <w:p w14:paraId="742579D2">
            <w:pPr>
              <w:spacing w:line="360" w:lineRule="auto"/>
              <w:ind w:right="-80" w:rightChars="-38"/>
              <w:jc w:val="center"/>
              <w:rPr>
                <w:rFonts w:hint="eastAsia" w:ascii="幼圆"/>
                <w:bCs/>
                <w:color w:val="000000"/>
                <w:szCs w:val="21"/>
              </w:rPr>
            </w:pPr>
            <w:r>
              <w:rPr>
                <w:rFonts w:hint="eastAsia" w:ascii="幼圆"/>
                <w:bCs/>
                <w:color w:val="000000"/>
                <w:szCs w:val="21"/>
              </w:rPr>
              <w:t>工频耐受电压(有效值)</w:t>
            </w:r>
            <w:r>
              <w:rPr>
                <w:rFonts w:hint="eastAsia" w:ascii="幼圆"/>
                <w:szCs w:val="21"/>
              </w:rPr>
              <w:t xml:space="preserve"> （kV）</w:t>
            </w:r>
          </w:p>
        </w:tc>
        <w:tc>
          <w:tcPr>
            <w:tcW w:w="3780" w:type="dxa"/>
            <w:noWrap w:val="0"/>
            <w:vAlign w:val="center"/>
          </w:tcPr>
          <w:p w14:paraId="412CC7B9">
            <w:pPr>
              <w:spacing w:line="360" w:lineRule="auto"/>
              <w:ind w:right="-80" w:rightChars="-38"/>
              <w:jc w:val="center"/>
              <w:rPr>
                <w:rFonts w:hint="eastAsia" w:ascii="幼圆"/>
                <w:bCs/>
                <w:color w:val="000000"/>
                <w:szCs w:val="21"/>
              </w:rPr>
            </w:pPr>
            <w:r>
              <w:rPr>
                <w:rFonts w:hint="eastAsia" w:ascii="幼圆"/>
                <w:bCs/>
                <w:color w:val="000000"/>
                <w:szCs w:val="21"/>
              </w:rPr>
              <w:t>额定雷电冲击耐受电压 (峰值)</w:t>
            </w:r>
            <w:r>
              <w:rPr>
                <w:rFonts w:hint="eastAsia" w:ascii="幼圆"/>
                <w:szCs w:val="21"/>
              </w:rPr>
              <w:t xml:space="preserve"> （kV）</w:t>
            </w:r>
          </w:p>
        </w:tc>
      </w:tr>
      <w:tr w14:paraId="56DD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324B0819">
            <w:pPr>
              <w:spacing w:line="360" w:lineRule="auto"/>
              <w:ind w:right="-80" w:rightChars="-38"/>
              <w:jc w:val="center"/>
              <w:rPr>
                <w:rFonts w:hint="eastAsia" w:ascii="幼圆"/>
                <w:bCs/>
                <w:color w:val="000000"/>
                <w:szCs w:val="21"/>
              </w:rPr>
            </w:pPr>
            <w:r>
              <w:rPr>
                <w:rFonts w:hint="eastAsia" w:ascii="幼圆"/>
                <w:bCs/>
                <w:color w:val="000000"/>
                <w:szCs w:val="21"/>
              </w:rPr>
              <w:t>高压侧</w:t>
            </w:r>
          </w:p>
        </w:tc>
        <w:tc>
          <w:tcPr>
            <w:tcW w:w="3060" w:type="dxa"/>
            <w:noWrap w:val="0"/>
            <w:vAlign w:val="center"/>
          </w:tcPr>
          <w:p w14:paraId="51D63771">
            <w:pPr>
              <w:spacing w:line="360" w:lineRule="auto"/>
              <w:ind w:right="-80" w:rightChars="-38"/>
              <w:jc w:val="center"/>
              <w:rPr>
                <w:rFonts w:hint="eastAsia" w:ascii="幼圆"/>
                <w:bCs/>
                <w:color w:val="000000"/>
                <w:szCs w:val="21"/>
              </w:rPr>
            </w:pPr>
            <w:r>
              <w:rPr>
                <w:rFonts w:hint="eastAsia" w:ascii="幼圆"/>
                <w:bCs/>
                <w:color w:val="000000"/>
                <w:szCs w:val="21"/>
              </w:rPr>
              <w:t>35</w:t>
            </w:r>
          </w:p>
        </w:tc>
        <w:tc>
          <w:tcPr>
            <w:tcW w:w="3780" w:type="dxa"/>
            <w:noWrap w:val="0"/>
            <w:vAlign w:val="center"/>
          </w:tcPr>
          <w:p w14:paraId="58C8A619">
            <w:pPr>
              <w:spacing w:line="360" w:lineRule="auto"/>
              <w:ind w:right="-80" w:rightChars="-38"/>
              <w:jc w:val="center"/>
              <w:rPr>
                <w:rFonts w:hint="eastAsia" w:ascii="幼圆"/>
                <w:bCs/>
                <w:color w:val="000000"/>
                <w:szCs w:val="21"/>
              </w:rPr>
            </w:pPr>
            <w:r>
              <w:rPr>
                <w:rFonts w:hint="eastAsia" w:ascii="幼圆"/>
                <w:bCs/>
                <w:color w:val="000000"/>
                <w:szCs w:val="21"/>
              </w:rPr>
              <w:t>75</w:t>
            </w:r>
          </w:p>
        </w:tc>
      </w:tr>
      <w:tr w14:paraId="0365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794BB535">
            <w:pPr>
              <w:spacing w:line="360" w:lineRule="auto"/>
              <w:ind w:right="-80" w:rightChars="-38"/>
              <w:jc w:val="center"/>
              <w:rPr>
                <w:rFonts w:hint="eastAsia" w:ascii="幼圆"/>
                <w:bCs/>
                <w:color w:val="000000"/>
                <w:szCs w:val="21"/>
              </w:rPr>
            </w:pPr>
            <w:r>
              <w:rPr>
                <w:rFonts w:hint="eastAsia" w:ascii="幼圆"/>
                <w:bCs/>
                <w:color w:val="000000"/>
                <w:szCs w:val="21"/>
              </w:rPr>
              <w:t>低压侧</w:t>
            </w:r>
          </w:p>
        </w:tc>
        <w:tc>
          <w:tcPr>
            <w:tcW w:w="3060" w:type="dxa"/>
            <w:noWrap w:val="0"/>
            <w:vAlign w:val="center"/>
          </w:tcPr>
          <w:p w14:paraId="25514A77">
            <w:pPr>
              <w:spacing w:line="360" w:lineRule="auto"/>
              <w:ind w:right="-80" w:rightChars="-38"/>
              <w:jc w:val="center"/>
              <w:rPr>
                <w:rFonts w:hint="eastAsia" w:ascii="幼圆"/>
                <w:bCs/>
                <w:color w:val="000000"/>
                <w:szCs w:val="21"/>
              </w:rPr>
            </w:pPr>
            <w:r>
              <w:rPr>
                <w:rFonts w:hint="eastAsia" w:ascii="幼圆"/>
                <w:bCs/>
                <w:color w:val="000000"/>
                <w:szCs w:val="21"/>
              </w:rPr>
              <w:t>3</w:t>
            </w:r>
          </w:p>
        </w:tc>
        <w:tc>
          <w:tcPr>
            <w:tcW w:w="3780" w:type="dxa"/>
            <w:noWrap w:val="0"/>
            <w:vAlign w:val="center"/>
          </w:tcPr>
          <w:p w14:paraId="60BA465D">
            <w:pPr>
              <w:spacing w:line="360" w:lineRule="auto"/>
              <w:ind w:right="-80" w:rightChars="-38"/>
              <w:jc w:val="center"/>
              <w:rPr>
                <w:rFonts w:hint="eastAsia" w:ascii="幼圆"/>
                <w:bCs/>
                <w:color w:val="000000"/>
                <w:szCs w:val="21"/>
              </w:rPr>
            </w:pPr>
            <w:r>
              <w:rPr>
                <w:rFonts w:hint="eastAsia" w:ascii="幼圆"/>
                <w:bCs/>
                <w:color w:val="000000"/>
                <w:szCs w:val="21"/>
              </w:rPr>
              <w:t>－</w:t>
            </w:r>
          </w:p>
        </w:tc>
      </w:tr>
      <w:tr w14:paraId="454A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45B514EC">
            <w:pPr>
              <w:spacing w:line="360" w:lineRule="auto"/>
              <w:ind w:right="-80" w:rightChars="-38"/>
              <w:jc w:val="center"/>
              <w:rPr>
                <w:rFonts w:hint="eastAsia" w:ascii="幼圆"/>
                <w:bCs/>
                <w:color w:val="000000"/>
                <w:szCs w:val="21"/>
              </w:rPr>
            </w:pPr>
            <w:r>
              <w:rPr>
                <w:rFonts w:hint="eastAsia" w:ascii="幼圆"/>
                <w:bCs/>
                <w:color w:val="000000"/>
                <w:szCs w:val="21"/>
              </w:rPr>
              <w:t>低压侧中性点</w:t>
            </w:r>
          </w:p>
        </w:tc>
        <w:tc>
          <w:tcPr>
            <w:tcW w:w="3060" w:type="dxa"/>
            <w:noWrap w:val="0"/>
            <w:vAlign w:val="center"/>
          </w:tcPr>
          <w:p w14:paraId="22C92E1B">
            <w:pPr>
              <w:spacing w:line="360" w:lineRule="auto"/>
              <w:ind w:right="-80" w:rightChars="-38"/>
              <w:jc w:val="center"/>
              <w:rPr>
                <w:rFonts w:hint="eastAsia" w:ascii="幼圆"/>
                <w:bCs/>
                <w:color w:val="000000"/>
                <w:szCs w:val="21"/>
              </w:rPr>
            </w:pPr>
            <w:r>
              <w:rPr>
                <w:rFonts w:hint="eastAsia" w:ascii="幼圆"/>
                <w:bCs/>
                <w:color w:val="000000"/>
                <w:szCs w:val="21"/>
              </w:rPr>
              <w:t>3</w:t>
            </w:r>
          </w:p>
        </w:tc>
        <w:tc>
          <w:tcPr>
            <w:tcW w:w="3780" w:type="dxa"/>
            <w:noWrap w:val="0"/>
            <w:vAlign w:val="center"/>
          </w:tcPr>
          <w:p w14:paraId="3AADD09E">
            <w:pPr>
              <w:spacing w:line="360" w:lineRule="auto"/>
              <w:ind w:right="-80" w:rightChars="-38"/>
              <w:jc w:val="center"/>
              <w:rPr>
                <w:rFonts w:hint="eastAsia" w:ascii="幼圆"/>
                <w:bCs/>
                <w:color w:val="000000"/>
                <w:szCs w:val="21"/>
              </w:rPr>
            </w:pPr>
            <w:r>
              <w:rPr>
                <w:rFonts w:hint="eastAsia" w:ascii="幼圆"/>
                <w:bCs/>
                <w:color w:val="000000"/>
                <w:szCs w:val="21"/>
              </w:rPr>
              <w:t>－</w:t>
            </w:r>
          </w:p>
        </w:tc>
      </w:tr>
    </w:tbl>
    <w:p w14:paraId="2B3067C3">
      <w:pPr>
        <w:spacing w:line="360" w:lineRule="auto"/>
        <w:ind w:right="-80" w:rightChars="-38"/>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ascii="宋体" w:hAnsi="宋体"/>
          <w:sz w:val="24"/>
          <w:lang w:val="en-US" w:eastAsia="zh-CN"/>
        </w:rPr>
        <w:t>.17</w:t>
      </w:r>
      <w:r>
        <w:rPr>
          <w:rFonts w:hint="eastAsia" w:ascii="宋体" w:hAnsi="宋体"/>
          <w:sz w:val="24"/>
        </w:rPr>
        <w:t xml:space="preserve">损耗、效率与噪音水平: </w:t>
      </w:r>
    </w:p>
    <w:tbl>
      <w:tblPr>
        <w:tblStyle w:val="10"/>
        <w:tblW w:w="500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65"/>
        <w:gridCol w:w="1010"/>
        <w:gridCol w:w="1010"/>
        <w:gridCol w:w="1110"/>
        <w:gridCol w:w="1110"/>
        <w:gridCol w:w="808"/>
        <w:gridCol w:w="1413"/>
      </w:tblGrid>
      <w:tr w14:paraId="43D2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120" w:type="pct"/>
            <w:vMerge w:val="restart"/>
            <w:noWrap w:val="0"/>
            <w:vAlign w:val="center"/>
          </w:tcPr>
          <w:p w14:paraId="47EC7D36">
            <w:pPr>
              <w:spacing w:line="360" w:lineRule="auto"/>
              <w:ind w:left="197" w:right="-80" w:rightChars="-38" w:hanging="197" w:hangingChars="94"/>
              <w:jc w:val="center"/>
              <w:rPr>
                <w:rFonts w:hint="eastAsia" w:ascii="幼圆"/>
                <w:bCs/>
                <w:color w:val="000000"/>
                <w:szCs w:val="21"/>
              </w:rPr>
            </w:pPr>
            <w:r>
              <w:rPr>
                <w:rFonts w:hint="eastAsia" w:ascii="幼圆"/>
                <w:bCs/>
                <w:color w:val="000000"/>
                <w:szCs w:val="21"/>
              </w:rPr>
              <w:t>产品型号</w:t>
            </w:r>
          </w:p>
        </w:tc>
        <w:tc>
          <w:tcPr>
            <w:tcW w:w="1212" w:type="pct"/>
            <w:gridSpan w:val="2"/>
            <w:noWrap w:val="0"/>
            <w:vAlign w:val="center"/>
          </w:tcPr>
          <w:p w14:paraId="09E7ACAA">
            <w:pPr>
              <w:spacing w:line="360" w:lineRule="auto"/>
              <w:ind w:left="197" w:right="-80" w:rightChars="-38" w:hanging="197" w:hangingChars="94"/>
              <w:jc w:val="center"/>
              <w:rPr>
                <w:rFonts w:hint="eastAsia" w:ascii="幼圆"/>
                <w:bCs/>
                <w:color w:val="000000"/>
                <w:szCs w:val="21"/>
              </w:rPr>
            </w:pPr>
            <w:r>
              <w:rPr>
                <w:rFonts w:hint="eastAsia" w:ascii="幼圆"/>
                <w:bCs/>
                <w:color w:val="000000"/>
                <w:szCs w:val="21"/>
              </w:rPr>
              <w:t>电压组合（kV）</w:t>
            </w:r>
          </w:p>
        </w:tc>
        <w:tc>
          <w:tcPr>
            <w:tcW w:w="666" w:type="pct"/>
            <w:vMerge w:val="restart"/>
            <w:noWrap w:val="0"/>
            <w:vAlign w:val="center"/>
          </w:tcPr>
          <w:p w14:paraId="36543B19">
            <w:pPr>
              <w:spacing w:line="360" w:lineRule="auto"/>
              <w:ind w:left="197" w:right="-80" w:rightChars="-38" w:hanging="197" w:hangingChars="94"/>
              <w:jc w:val="center"/>
              <w:rPr>
                <w:rFonts w:hint="eastAsia" w:ascii="幼圆"/>
                <w:bCs/>
                <w:color w:val="000000"/>
                <w:szCs w:val="21"/>
              </w:rPr>
            </w:pPr>
            <w:r>
              <w:rPr>
                <w:rFonts w:hint="eastAsia" w:ascii="幼圆"/>
                <w:bCs/>
                <w:color w:val="000000"/>
                <w:szCs w:val="21"/>
              </w:rPr>
              <w:t>空载损耗</w:t>
            </w:r>
          </w:p>
          <w:p w14:paraId="70D99CC3">
            <w:pPr>
              <w:spacing w:line="360" w:lineRule="auto"/>
              <w:ind w:left="197" w:right="-80" w:rightChars="-38" w:hanging="197" w:hangingChars="94"/>
              <w:jc w:val="center"/>
              <w:rPr>
                <w:rFonts w:hint="eastAsia" w:ascii="幼圆"/>
                <w:bCs/>
                <w:color w:val="000000"/>
                <w:szCs w:val="21"/>
              </w:rPr>
            </w:pPr>
            <w:r>
              <w:rPr>
                <w:rFonts w:hint="eastAsia" w:ascii="幼圆"/>
                <w:bCs/>
                <w:color w:val="000000"/>
                <w:szCs w:val="21"/>
              </w:rPr>
              <w:t>（kW）</w:t>
            </w:r>
          </w:p>
        </w:tc>
        <w:tc>
          <w:tcPr>
            <w:tcW w:w="666" w:type="pct"/>
            <w:vMerge w:val="restart"/>
            <w:noWrap w:val="0"/>
            <w:vAlign w:val="center"/>
          </w:tcPr>
          <w:p w14:paraId="4848A179">
            <w:pPr>
              <w:spacing w:line="360" w:lineRule="auto"/>
              <w:ind w:left="197" w:right="-80" w:rightChars="-38" w:hanging="197" w:hangingChars="94"/>
              <w:jc w:val="center"/>
              <w:rPr>
                <w:rFonts w:hint="eastAsia" w:ascii="幼圆"/>
                <w:bCs/>
                <w:color w:val="000000"/>
                <w:szCs w:val="21"/>
              </w:rPr>
            </w:pPr>
            <w:r>
              <w:rPr>
                <w:rFonts w:hint="eastAsia" w:ascii="幼圆"/>
                <w:bCs/>
                <w:color w:val="000000"/>
                <w:szCs w:val="21"/>
              </w:rPr>
              <w:t>负载损耗</w:t>
            </w:r>
          </w:p>
          <w:p w14:paraId="12E28CDF">
            <w:pPr>
              <w:spacing w:line="360" w:lineRule="auto"/>
              <w:ind w:left="197" w:right="-80" w:rightChars="-38" w:hanging="197" w:hangingChars="94"/>
              <w:jc w:val="center"/>
              <w:rPr>
                <w:rFonts w:hint="eastAsia" w:ascii="幼圆"/>
                <w:bCs/>
                <w:color w:val="000000"/>
                <w:szCs w:val="21"/>
              </w:rPr>
            </w:pPr>
            <w:r>
              <w:rPr>
                <w:rFonts w:hint="eastAsia" w:ascii="幼圆"/>
                <w:bCs/>
                <w:color w:val="000000"/>
                <w:szCs w:val="21"/>
              </w:rPr>
              <w:t>(kW)</w:t>
            </w:r>
          </w:p>
        </w:tc>
        <w:tc>
          <w:tcPr>
            <w:tcW w:w="485" w:type="pct"/>
            <w:vMerge w:val="restart"/>
            <w:noWrap w:val="0"/>
            <w:vAlign w:val="center"/>
          </w:tcPr>
          <w:p w14:paraId="2D258591">
            <w:pPr>
              <w:spacing w:line="360" w:lineRule="auto"/>
              <w:ind w:right="-80" w:rightChars="-38"/>
              <w:jc w:val="center"/>
              <w:rPr>
                <w:rFonts w:hint="eastAsia" w:ascii="幼圆"/>
                <w:bCs/>
                <w:color w:val="000000"/>
                <w:szCs w:val="21"/>
              </w:rPr>
            </w:pPr>
            <w:r>
              <w:rPr>
                <w:rFonts w:hint="eastAsia" w:ascii="幼圆"/>
                <w:bCs/>
                <w:color w:val="000000"/>
                <w:szCs w:val="21"/>
              </w:rPr>
              <w:t>效率</w:t>
            </w:r>
          </w:p>
          <w:p w14:paraId="0AB47504">
            <w:pPr>
              <w:spacing w:line="360" w:lineRule="auto"/>
              <w:ind w:right="-80" w:rightChars="-38"/>
              <w:jc w:val="center"/>
              <w:rPr>
                <w:rFonts w:hint="eastAsia" w:ascii="幼圆"/>
                <w:bCs/>
                <w:color w:val="000000"/>
                <w:szCs w:val="21"/>
              </w:rPr>
            </w:pPr>
            <w:r>
              <w:rPr>
                <w:rFonts w:hint="eastAsia" w:ascii="幼圆"/>
                <w:bCs/>
                <w:color w:val="000000"/>
                <w:szCs w:val="21"/>
              </w:rPr>
              <w:t>（％）</w:t>
            </w:r>
          </w:p>
        </w:tc>
        <w:tc>
          <w:tcPr>
            <w:tcW w:w="848" w:type="pct"/>
            <w:vMerge w:val="restart"/>
            <w:noWrap w:val="0"/>
            <w:vAlign w:val="center"/>
          </w:tcPr>
          <w:p w14:paraId="18E93DB6">
            <w:pPr>
              <w:spacing w:line="360" w:lineRule="auto"/>
              <w:ind w:left="197" w:right="-80" w:rightChars="-38" w:hanging="197" w:hangingChars="94"/>
              <w:jc w:val="center"/>
              <w:rPr>
                <w:rFonts w:hint="eastAsia" w:ascii="幼圆"/>
                <w:bCs/>
                <w:color w:val="000000"/>
                <w:szCs w:val="21"/>
              </w:rPr>
            </w:pPr>
            <w:r>
              <w:rPr>
                <w:rFonts w:hint="eastAsia" w:ascii="幼圆"/>
                <w:bCs/>
                <w:color w:val="000000"/>
                <w:szCs w:val="21"/>
              </w:rPr>
              <w:t>声级（dB）</w:t>
            </w:r>
          </w:p>
        </w:tc>
      </w:tr>
      <w:tr w14:paraId="593A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120" w:type="pct"/>
            <w:vMerge w:val="continue"/>
            <w:noWrap w:val="0"/>
            <w:vAlign w:val="top"/>
          </w:tcPr>
          <w:p w14:paraId="5F9952FA">
            <w:pPr>
              <w:spacing w:line="360" w:lineRule="auto"/>
              <w:ind w:left="197" w:right="-80" w:rightChars="-38" w:hanging="197" w:hangingChars="94"/>
              <w:jc w:val="center"/>
              <w:rPr>
                <w:rFonts w:hint="eastAsia" w:ascii="幼圆"/>
                <w:bCs/>
                <w:color w:val="000000"/>
                <w:szCs w:val="21"/>
              </w:rPr>
            </w:pPr>
          </w:p>
        </w:tc>
        <w:tc>
          <w:tcPr>
            <w:tcW w:w="606" w:type="pct"/>
            <w:noWrap w:val="0"/>
            <w:vAlign w:val="top"/>
          </w:tcPr>
          <w:p w14:paraId="7DF168DA">
            <w:pPr>
              <w:spacing w:line="360" w:lineRule="auto"/>
              <w:ind w:left="197" w:right="-80" w:rightChars="-38" w:hanging="197" w:hangingChars="94"/>
              <w:jc w:val="center"/>
              <w:rPr>
                <w:rFonts w:hint="eastAsia" w:ascii="幼圆"/>
                <w:bCs/>
                <w:color w:val="000000"/>
                <w:szCs w:val="21"/>
              </w:rPr>
            </w:pPr>
            <w:r>
              <w:rPr>
                <w:rFonts w:hint="eastAsia" w:ascii="幼圆"/>
                <w:bCs/>
                <w:color w:val="000000"/>
                <w:szCs w:val="21"/>
              </w:rPr>
              <w:t>高压</w:t>
            </w:r>
          </w:p>
        </w:tc>
        <w:tc>
          <w:tcPr>
            <w:tcW w:w="606" w:type="pct"/>
            <w:noWrap w:val="0"/>
            <w:vAlign w:val="top"/>
          </w:tcPr>
          <w:p w14:paraId="0A29453D">
            <w:pPr>
              <w:spacing w:line="360" w:lineRule="auto"/>
              <w:ind w:left="197" w:right="-80" w:rightChars="-38" w:hanging="197" w:hangingChars="94"/>
              <w:jc w:val="center"/>
              <w:rPr>
                <w:rFonts w:hint="eastAsia" w:ascii="幼圆"/>
                <w:bCs/>
                <w:color w:val="000000"/>
                <w:szCs w:val="21"/>
              </w:rPr>
            </w:pPr>
            <w:r>
              <w:rPr>
                <w:rFonts w:hint="eastAsia" w:ascii="幼圆"/>
                <w:bCs/>
                <w:color w:val="000000"/>
                <w:szCs w:val="21"/>
              </w:rPr>
              <w:t>低压</w:t>
            </w:r>
          </w:p>
        </w:tc>
        <w:tc>
          <w:tcPr>
            <w:tcW w:w="666" w:type="pct"/>
            <w:vMerge w:val="continue"/>
            <w:noWrap w:val="0"/>
            <w:vAlign w:val="top"/>
          </w:tcPr>
          <w:p w14:paraId="5AC70085">
            <w:pPr>
              <w:spacing w:line="360" w:lineRule="auto"/>
              <w:ind w:left="197" w:right="-80" w:rightChars="-38" w:hanging="197" w:hangingChars="94"/>
              <w:jc w:val="center"/>
              <w:rPr>
                <w:rFonts w:hint="eastAsia" w:ascii="幼圆"/>
                <w:bCs/>
                <w:color w:val="000000"/>
                <w:szCs w:val="21"/>
              </w:rPr>
            </w:pPr>
          </w:p>
        </w:tc>
        <w:tc>
          <w:tcPr>
            <w:tcW w:w="666" w:type="pct"/>
            <w:vMerge w:val="continue"/>
            <w:noWrap w:val="0"/>
            <w:vAlign w:val="top"/>
          </w:tcPr>
          <w:p w14:paraId="59C93ACE">
            <w:pPr>
              <w:spacing w:line="360" w:lineRule="auto"/>
              <w:ind w:left="197" w:right="-80" w:rightChars="-38" w:hanging="197" w:hangingChars="94"/>
              <w:jc w:val="center"/>
              <w:rPr>
                <w:rFonts w:hint="eastAsia" w:ascii="幼圆"/>
                <w:bCs/>
                <w:color w:val="000000"/>
                <w:szCs w:val="21"/>
              </w:rPr>
            </w:pPr>
          </w:p>
        </w:tc>
        <w:tc>
          <w:tcPr>
            <w:tcW w:w="485" w:type="pct"/>
            <w:vMerge w:val="continue"/>
            <w:noWrap w:val="0"/>
            <w:vAlign w:val="top"/>
          </w:tcPr>
          <w:p w14:paraId="02F390E6">
            <w:pPr>
              <w:spacing w:line="360" w:lineRule="auto"/>
              <w:ind w:left="197" w:right="-80" w:rightChars="-38" w:hanging="197" w:hangingChars="94"/>
              <w:jc w:val="center"/>
              <w:rPr>
                <w:rFonts w:hint="eastAsia" w:ascii="幼圆"/>
                <w:bCs/>
                <w:color w:val="000000"/>
                <w:szCs w:val="21"/>
              </w:rPr>
            </w:pPr>
          </w:p>
        </w:tc>
        <w:tc>
          <w:tcPr>
            <w:tcW w:w="848" w:type="pct"/>
            <w:vMerge w:val="continue"/>
            <w:noWrap w:val="0"/>
            <w:vAlign w:val="top"/>
          </w:tcPr>
          <w:p w14:paraId="5B07E0A2">
            <w:pPr>
              <w:spacing w:line="360" w:lineRule="auto"/>
              <w:ind w:left="197" w:right="-80" w:rightChars="-38" w:hanging="197" w:hangingChars="94"/>
              <w:jc w:val="center"/>
              <w:rPr>
                <w:rFonts w:hint="eastAsia" w:ascii="幼圆"/>
                <w:bCs/>
                <w:color w:val="000000"/>
                <w:szCs w:val="21"/>
              </w:rPr>
            </w:pPr>
          </w:p>
        </w:tc>
      </w:tr>
      <w:tr w14:paraId="1039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120" w:type="pct"/>
            <w:noWrap w:val="0"/>
            <w:vAlign w:val="center"/>
          </w:tcPr>
          <w:p w14:paraId="06046F86">
            <w:pPr>
              <w:spacing w:line="360" w:lineRule="auto"/>
              <w:ind w:left="197" w:right="-80" w:rightChars="-38" w:hanging="197" w:hangingChars="94"/>
              <w:jc w:val="center"/>
              <w:rPr>
                <w:rFonts w:hint="eastAsia" w:ascii="幼圆"/>
                <w:bCs/>
                <w:color w:val="000000"/>
                <w:szCs w:val="21"/>
              </w:rPr>
            </w:pPr>
            <w:r>
              <w:rPr>
                <w:rFonts w:hint="eastAsia" w:ascii="幼圆"/>
                <w:bCs/>
                <w:color w:val="000000"/>
                <w:szCs w:val="21"/>
              </w:rPr>
              <w:t>SCB10-800/10</w:t>
            </w:r>
          </w:p>
        </w:tc>
        <w:tc>
          <w:tcPr>
            <w:tcW w:w="606" w:type="pct"/>
            <w:noWrap w:val="0"/>
            <w:vAlign w:val="center"/>
          </w:tcPr>
          <w:p w14:paraId="69FD79C6">
            <w:pPr>
              <w:spacing w:line="360" w:lineRule="auto"/>
              <w:ind w:left="197" w:right="-80" w:rightChars="-38" w:hanging="197" w:hangingChars="94"/>
              <w:jc w:val="center"/>
              <w:rPr>
                <w:rFonts w:hint="eastAsia" w:ascii="幼圆"/>
                <w:bCs/>
                <w:color w:val="000000"/>
                <w:szCs w:val="21"/>
              </w:rPr>
            </w:pPr>
            <w:r>
              <w:rPr>
                <w:rFonts w:hint="eastAsia" w:ascii="幼圆"/>
                <w:bCs/>
                <w:color w:val="000000"/>
                <w:szCs w:val="21"/>
              </w:rPr>
              <w:t>10</w:t>
            </w:r>
          </w:p>
        </w:tc>
        <w:tc>
          <w:tcPr>
            <w:tcW w:w="606" w:type="pct"/>
            <w:noWrap w:val="0"/>
            <w:vAlign w:val="center"/>
          </w:tcPr>
          <w:p w14:paraId="18366389">
            <w:pPr>
              <w:spacing w:line="360" w:lineRule="auto"/>
              <w:ind w:left="197" w:right="-80" w:rightChars="-38" w:hanging="197" w:hangingChars="94"/>
              <w:jc w:val="center"/>
              <w:rPr>
                <w:rFonts w:hint="eastAsia" w:ascii="幼圆"/>
                <w:bCs/>
                <w:color w:val="000000"/>
                <w:szCs w:val="21"/>
              </w:rPr>
            </w:pPr>
            <w:r>
              <w:rPr>
                <w:rFonts w:hint="eastAsia" w:ascii="幼圆"/>
                <w:bCs/>
                <w:color w:val="000000"/>
                <w:szCs w:val="21"/>
              </w:rPr>
              <w:t>0.4</w:t>
            </w:r>
          </w:p>
        </w:tc>
        <w:tc>
          <w:tcPr>
            <w:tcW w:w="666" w:type="pct"/>
            <w:noWrap w:val="0"/>
            <w:vAlign w:val="center"/>
          </w:tcPr>
          <w:p w14:paraId="6935AF41">
            <w:pPr>
              <w:spacing w:line="360" w:lineRule="auto"/>
              <w:ind w:left="197" w:right="-80" w:rightChars="-38" w:hanging="197" w:hangingChars="94"/>
              <w:jc w:val="center"/>
              <w:rPr>
                <w:rFonts w:hint="eastAsia" w:ascii="幼圆"/>
                <w:bCs/>
                <w:color w:val="000000"/>
                <w:szCs w:val="21"/>
              </w:rPr>
            </w:pPr>
          </w:p>
        </w:tc>
        <w:tc>
          <w:tcPr>
            <w:tcW w:w="666" w:type="pct"/>
            <w:noWrap w:val="0"/>
            <w:vAlign w:val="center"/>
          </w:tcPr>
          <w:p w14:paraId="3E85880D">
            <w:pPr>
              <w:spacing w:line="360" w:lineRule="auto"/>
              <w:ind w:left="197" w:right="-80" w:rightChars="-38" w:hanging="197" w:hangingChars="94"/>
              <w:jc w:val="center"/>
              <w:rPr>
                <w:rFonts w:hint="eastAsia" w:ascii="幼圆"/>
                <w:bCs/>
                <w:color w:val="000000"/>
                <w:szCs w:val="21"/>
              </w:rPr>
            </w:pPr>
          </w:p>
        </w:tc>
        <w:tc>
          <w:tcPr>
            <w:tcW w:w="485" w:type="pct"/>
            <w:noWrap w:val="0"/>
            <w:vAlign w:val="center"/>
          </w:tcPr>
          <w:p w14:paraId="162DF452">
            <w:pPr>
              <w:spacing w:line="360" w:lineRule="auto"/>
              <w:ind w:left="197" w:right="-80" w:rightChars="-38" w:hanging="197" w:hangingChars="94"/>
              <w:jc w:val="center"/>
              <w:rPr>
                <w:rFonts w:hint="eastAsia" w:ascii="幼圆"/>
                <w:bCs/>
                <w:color w:val="000000"/>
                <w:szCs w:val="21"/>
              </w:rPr>
            </w:pPr>
          </w:p>
        </w:tc>
        <w:tc>
          <w:tcPr>
            <w:tcW w:w="848" w:type="pct"/>
            <w:noWrap w:val="0"/>
            <w:vAlign w:val="center"/>
          </w:tcPr>
          <w:p w14:paraId="00C4C53F">
            <w:pPr>
              <w:spacing w:line="360" w:lineRule="auto"/>
              <w:ind w:left="197" w:right="-80" w:rightChars="-38" w:hanging="197" w:hangingChars="94"/>
              <w:jc w:val="center"/>
              <w:rPr>
                <w:rFonts w:hint="eastAsia" w:ascii="幼圆"/>
                <w:bCs/>
                <w:color w:val="000000"/>
                <w:szCs w:val="21"/>
              </w:rPr>
            </w:pPr>
          </w:p>
        </w:tc>
      </w:tr>
    </w:tbl>
    <w:p w14:paraId="657F797B">
      <w:pPr>
        <w:snapToGrid w:val="0"/>
        <w:spacing w:line="360" w:lineRule="auto"/>
        <w:rPr>
          <w:rFonts w:hint="eastAsia" w:eastAsiaTheme="minorEastAsia"/>
          <w:color w:val="000000"/>
          <w:sz w:val="24"/>
          <w:lang w:eastAsia="zh-CN"/>
        </w:rPr>
      </w:pPr>
      <w:r>
        <w:rPr>
          <w:rFonts w:hint="eastAsia"/>
          <w:color w:val="000000"/>
          <w:sz w:val="24"/>
        </w:rPr>
        <w:t>损耗（投标方提供，应</w:t>
      </w:r>
      <w:r>
        <w:rPr>
          <w:rFonts w:hint="eastAsia"/>
          <w:color w:val="000000"/>
          <w:sz w:val="24"/>
          <w:lang w:val="en-US" w:eastAsia="zh-CN"/>
        </w:rPr>
        <w:t>达到一级能效变压器标准</w:t>
      </w:r>
      <w:r>
        <w:rPr>
          <w:rFonts w:hint="eastAsia"/>
          <w:color w:val="000000"/>
          <w:sz w:val="24"/>
          <w:lang w:eastAsia="zh-CN"/>
        </w:rPr>
        <w:t>）</w:t>
      </w:r>
    </w:p>
    <w:p w14:paraId="2EF9B6BD">
      <w:pPr>
        <w:snapToGrid w:val="0"/>
        <w:spacing w:line="360" w:lineRule="auto"/>
        <w:ind w:left="880"/>
        <w:rPr>
          <w:color w:val="000000"/>
          <w:sz w:val="24"/>
        </w:rPr>
      </w:pPr>
      <w:r>
        <w:rPr>
          <w:rFonts w:hint="eastAsia"/>
          <w:color w:val="000000"/>
          <w:sz w:val="24"/>
        </w:rPr>
        <w:t>负载损耗：应</w:t>
      </w:r>
      <w:r>
        <w:rPr>
          <w:rFonts w:hint="eastAsia"/>
          <w:color w:val="000000"/>
          <w:sz w:val="24"/>
          <w:lang w:val="en-US" w:eastAsia="zh-CN"/>
        </w:rPr>
        <w:t>达到一级能效变压器标准</w:t>
      </w:r>
      <w:r>
        <w:rPr>
          <w:rFonts w:hint="eastAsia"/>
          <w:color w:val="000000"/>
          <w:sz w:val="24"/>
        </w:rPr>
        <w:t>；</w:t>
      </w:r>
    </w:p>
    <w:p w14:paraId="2C21F8E2">
      <w:pPr>
        <w:snapToGrid w:val="0"/>
        <w:spacing w:line="360" w:lineRule="auto"/>
        <w:ind w:left="880"/>
        <w:rPr>
          <w:color w:val="000000"/>
          <w:sz w:val="24"/>
        </w:rPr>
      </w:pPr>
      <w:r>
        <w:rPr>
          <w:rFonts w:hint="eastAsia"/>
          <w:color w:val="000000"/>
          <w:sz w:val="24"/>
        </w:rPr>
        <w:t>空载损耗：应</w:t>
      </w:r>
      <w:r>
        <w:rPr>
          <w:rFonts w:hint="eastAsia"/>
          <w:color w:val="000000"/>
          <w:sz w:val="24"/>
          <w:lang w:val="en-US" w:eastAsia="zh-CN"/>
        </w:rPr>
        <w:t>达到一级能效变压器标准</w:t>
      </w:r>
      <w:r>
        <w:rPr>
          <w:rFonts w:hint="eastAsia"/>
          <w:color w:val="000000"/>
          <w:sz w:val="24"/>
        </w:rPr>
        <w:t>；</w:t>
      </w:r>
    </w:p>
    <w:p w14:paraId="40842646">
      <w:pPr>
        <w:spacing w:line="360" w:lineRule="auto"/>
        <w:ind w:left="420" w:right="-80" w:rightChars="-38" w:firstLine="420"/>
        <w:rPr>
          <w:rFonts w:hint="eastAsia" w:ascii="幼圆"/>
          <w:color w:val="000000"/>
          <w:szCs w:val="21"/>
        </w:rPr>
      </w:pPr>
      <w:r>
        <w:rPr>
          <w:rFonts w:hint="eastAsia"/>
          <w:color w:val="000000"/>
          <w:sz w:val="24"/>
        </w:rPr>
        <w:t>总损耗：应</w:t>
      </w:r>
      <w:r>
        <w:rPr>
          <w:rFonts w:hint="eastAsia"/>
          <w:color w:val="000000"/>
          <w:sz w:val="24"/>
          <w:lang w:val="en-US" w:eastAsia="zh-CN"/>
        </w:rPr>
        <w:t>达到一级能效变压器标准</w:t>
      </w:r>
      <w:r>
        <w:rPr>
          <w:rFonts w:hint="eastAsia"/>
          <w:color w:val="000000"/>
          <w:sz w:val="24"/>
        </w:rPr>
        <w:t>。</w:t>
      </w:r>
    </w:p>
    <w:p w14:paraId="3D4804EB">
      <w:pPr>
        <w:numPr>
          <w:ilvl w:val="0"/>
          <w:numId w:val="9"/>
        </w:numPr>
        <w:spacing w:line="360" w:lineRule="auto"/>
        <w:ind w:right="-80" w:rightChars="-38"/>
        <w:rPr>
          <w:rFonts w:hint="eastAsia" w:ascii="宋体" w:hAnsi="宋体"/>
          <w:sz w:val="24"/>
        </w:rPr>
      </w:pPr>
      <w:r>
        <w:rPr>
          <w:rFonts w:hint="eastAsia"/>
          <w:color w:val="000000"/>
          <w:sz w:val="24"/>
        </w:rPr>
        <w:t>效率：</w:t>
      </w:r>
      <w:r>
        <w:rPr>
          <w:rFonts w:hint="eastAsia" w:ascii="仿宋" w:hAnsi="仿宋" w:eastAsia="仿宋" w:cs="仿宋"/>
          <w:sz w:val="28"/>
          <w:szCs w:val="28"/>
          <w:lang w:val="en-US" w:eastAsia="zh-CN"/>
        </w:rPr>
        <w:t>≥98%</w:t>
      </w:r>
      <w:r>
        <w:rPr>
          <w:rFonts w:hint="eastAsia"/>
          <w:color w:val="000000"/>
          <w:sz w:val="24"/>
          <w:lang w:eastAsia="zh-CN"/>
        </w:rPr>
        <w:t>（</w:t>
      </w:r>
      <w:r>
        <w:rPr>
          <w:rFonts w:hint="eastAsia"/>
          <w:color w:val="000000"/>
          <w:sz w:val="24"/>
          <w:lang w:val="en-US" w:eastAsia="zh-CN"/>
        </w:rPr>
        <w:t>投标方提供）</w:t>
      </w:r>
    </w:p>
    <w:p w14:paraId="04329F0C">
      <w:pPr>
        <w:numPr>
          <w:ilvl w:val="0"/>
          <w:numId w:val="9"/>
        </w:numPr>
        <w:snapToGrid w:val="0"/>
        <w:spacing w:line="360" w:lineRule="auto"/>
        <w:rPr>
          <w:rFonts w:hint="eastAsia" w:ascii="宋体" w:hAnsi="宋体"/>
          <w:color w:val="000000"/>
          <w:sz w:val="24"/>
        </w:rPr>
      </w:pPr>
      <w:r>
        <w:rPr>
          <w:rFonts w:hint="eastAsia" w:ascii="宋体" w:hAnsi="宋体"/>
          <w:sz w:val="24"/>
        </w:rPr>
        <w:t>噪音水平</w:t>
      </w:r>
      <w:r>
        <w:rPr>
          <w:rFonts w:ascii="宋体" w:hAnsi="宋体"/>
          <w:sz w:val="24"/>
        </w:rPr>
        <w:t>100%</w:t>
      </w:r>
      <w:r>
        <w:rPr>
          <w:rFonts w:hint="eastAsia" w:ascii="宋体" w:hAnsi="宋体"/>
          <w:sz w:val="24"/>
        </w:rPr>
        <w:t>满载运行，距变压器本体</w:t>
      </w:r>
      <w:r>
        <w:rPr>
          <w:rFonts w:ascii="宋体" w:hAnsi="宋体"/>
          <w:sz w:val="24"/>
        </w:rPr>
        <w:t>1m</w:t>
      </w:r>
      <w:r>
        <w:rPr>
          <w:rFonts w:hint="eastAsia" w:ascii="宋体" w:hAnsi="宋体"/>
          <w:sz w:val="24"/>
        </w:rPr>
        <w:t>处，噪音不</w:t>
      </w:r>
      <w:r>
        <w:rPr>
          <w:rFonts w:hint="eastAsia" w:ascii="宋体" w:hAnsi="宋体"/>
          <w:color w:val="000000"/>
          <w:sz w:val="24"/>
        </w:rPr>
        <w:t>大于60</w:t>
      </w:r>
      <w:r>
        <w:rPr>
          <w:rFonts w:ascii="宋体" w:hAnsi="宋体"/>
          <w:color w:val="000000"/>
          <w:sz w:val="24"/>
        </w:rPr>
        <w:t>dB</w:t>
      </w:r>
      <w:r>
        <w:rPr>
          <w:rFonts w:hint="eastAsia" w:ascii="宋体" w:hAnsi="宋体"/>
          <w:color w:val="000000"/>
          <w:sz w:val="24"/>
        </w:rPr>
        <w:t>。</w:t>
      </w:r>
    </w:p>
    <w:p w14:paraId="38C37986">
      <w:pPr>
        <w:pStyle w:val="6"/>
        <w:spacing w:line="360" w:lineRule="auto"/>
        <w:ind w:right="-80" w:rightChars="-38"/>
        <w:rPr>
          <w:rFonts w:hint="eastAsia" w:hAnsi="宋体"/>
          <w:sz w:val="24"/>
          <w:szCs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.18</w:t>
      </w:r>
      <w:r>
        <w:rPr>
          <w:rFonts w:hint="eastAsia" w:hAnsi="宋体"/>
          <w:sz w:val="24"/>
          <w:szCs w:val="24"/>
        </w:rPr>
        <w:t>局部放电水平：</w:t>
      </w:r>
    </w:p>
    <w:p w14:paraId="1FA91118">
      <w:pPr>
        <w:pStyle w:val="6"/>
        <w:spacing w:line="360" w:lineRule="auto"/>
        <w:ind w:right="-80" w:rightChars="-38" w:firstLine="480" w:firstLineChars="200"/>
        <w:rPr>
          <w:rFonts w:hint="eastAsia" w:hAnsi="宋体"/>
          <w:color w:val="000000"/>
          <w:sz w:val="24"/>
        </w:rPr>
      </w:pPr>
      <w:r>
        <w:rPr>
          <w:rFonts w:hint="eastAsia" w:hAnsi="宋体"/>
          <w:sz w:val="24"/>
          <w:szCs w:val="24"/>
        </w:rPr>
        <w:t>变压器在1.1倍最高电压下，3min，高压线端测得的视在放电量不会超过10PC。</w:t>
      </w:r>
      <w:r>
        <w:rPr>
          <w:rFonts w:hint="eastAsia" w:hAnsi="宋体"/>
          <w:color w:val="000000"/>
          <w:sz w:val="24"/>
        </w:rPr>
        <w:t>铁芯对地绝缘电阻，其值不小于</w:t>
      </w:r>
      <w:r>
        <w:rPr>
          <w:rFonts w:hAnsi="宋体"/>
          <w:color w:val="000000"/>
          <w:sz w:val="24"/>
        </w:rPr>
        <w:t>5M</w:t>
      </w:r>
      <w:r>
        <w:rPr>
          <w:rFonts w:hint="eastAsia" w:hAnsi="宋体"/>
          <w:color w:val="000000"/>
          <w:sz w:val="24"/>
        </w:rPr>
        <w:t>Ω。</w:t>
      </w:r>
    </w:p>
    <w:p w14:paraId="1485A2BB">
      <w:pPr>
        <w:snapToGrid w:val="0"/>
        <w:spacing w:line="360" w:lineRule="auto"/>
        <w:rPr>
          <w:rFonts w:ascii="宋体" w:hAnsi="宋体"/>
          <w:sz w:val="24"/>
        </w:rPr>
      </w:pPr>
      <w:r>
        <w:rPr>
          <w:rFonts w:hint="eastAsia" w:ascii="宋体" w:hAnsi="宋体" w:eastAsiaTheme="minorEastAsia" w:cstheme="minorBidi"/>
          <w:kern w:val="2"/>
          <w:sz w:val="24"/>
          <w:szCs w:val="24"/>
          <w:lang w:val="en-US" w:eastAsia="zh-CN" w:bidi="ar-SA"/>
        </w:rPr>
        <w:t>4.2.2</w:t>
      </w:r>
      <w:r>
        <w:rPr>
          <w:rFonts w:hint="eastAsia" w:ascii="宋体" w:hAnsi="宋体"/>
          <w:sz w:val="24"/>
          <w:lang w:val="en-US" w:eastAsia="zh-CN"/>
        </w:rPr>
        <w:t>.19</w:t>
      </w:r>
      <w:r>
        <w:rPr>
          <w:rFonts w:hint="eastAsia" w:ascii="宋体" w:hAnsi="宋体"/>
          <w:sz w:val="24"/>
        </w:rPr>
        <w:t>温升限值</w:t>
      </w:r>
      <w:r>
        <w:rPr>
          <w:rFonts w:ascii="宋体" w:hAnsi="宋体"/>
          <w:sz w:val="24"/>
        </w:rPr>
        <w:t>(</w:t>
      </w:r>
      <w:r>
        <w:rPr>
          <w:rFonts w:hint="eastAsia" w:ascii="宋体" w:hAnsi="宋体"/>
          <w:sz w:val="24"/>
        </w:rPr>
        <w:t>周围环境温度</w:t>
      </w:r>
      <w:r>
        <w:rPr>
          <w:rFonts w:ascii="宋体" w:hAnsi="宋体"/>
          <w:sz w:val="24"/>
        </w:rPr>
        <w:t>40</w:t>
      </w:r>
      <w:r>
        <w:rPr>
          <w:rFonts w:hint="eastAsia" w:ascii="宋体" w:hAnsi="宋体"/>
          <w:sz w:val="24"/>
        </w:rPr>
        <w:t>℃</w:t>
      </w:r>
      <w:r>
        <w:rPr>
          <w:rFonts w:ascii="宋体" w:hAnsi="宋体"/>
          <w:sz w:val="24"/>
        </w:rPr>
        <w:t>)</w:t>
      </w:r>
      <w:r>
        <w:rPr>
          <w:rFonts w:hint="eastAsia" w:ascii="宋体" w:hAnsi="宋体"/>
          <w:sz w:val="24"/>
        </w:rPr>
        <w:t>：</w:t>
      </w:r>
    </w:p>
    <w:p w14:paraId="3BB5CA2C">
      <w:pPr>
        <w:numPr>
          <w:ilvl w:val="0"/>
          <w:numId w:val="10"/>
        </w:numPr>
        <w:snapToGrid w:val="0"/>
        <w:spacing w:line="360" w:lineRule="auto"/>
        <w:rPr>
          <w:rFonts w:hint="eastAsia" w:ascii="宋体" w:hAnsi="宋体"/>
          <w:sz w:val="24"/>
        </w:rPr>
      </w:pPr>
      <w:r>
        <w:rPr>
          <w:rFonts w:hint="eastAsia" w:ascii="宋体" w:hAnsi="宋体"/>
          <w:sz w:val="24"/>
        </w:rPr>
        <w:t>线圈温升限值</w:t>
      </w:r>
      <w:r>
        <w:rPr>
          <w:rFonts w:ascii="宋体" w:hAnsi="宋体"/>
          <w:sz w:val="24"/>
        </w:rPr>
        <w:t>(</w:t>
      </w:r>
      <w:r>
        <w:rPr>
          <w:rFonts w:hint="eastAsia" w:ascii="宋体" w:hAnsi="宋体"/>
          <w:sz w:val="24"/>
        </w:rPr>
        <w:t>环境温度</w:t>
      </w:r>
      <w:r>
        <w:rPr>
          <w:rFonts w:ascii="宋体" w:hAnsi="宋体"/>
          <w:sz w:val="24"/>
        </w:rPr>
        <w:t>40</w:t>
      </w:r>
      <w:r>
        <w:rPr>
          <w:rFonts w:hint="eastAsia" w:ascii="宋体" w:hAnsi="宋体"/>
          <w:sz w:val="24"/>
        </w:rPr>
        <w:t>℃时</w:t>
      </w:r>
      <w:r>
        <w:rPr>
          <w:rFonts w:ascii="宋体" w:hAnsi="宋体"/>
          <w:sz w:val="24"/>
        </w:rPr>
        <w:t>)</w:t>
      </w:r>
      <w:r>
        <w:rPr>
          <w:rFonts w:hint="eastAsia" w:ascii="宋体" w:hAnsi="宋体"/>
          <w:sz w:val="24"/>
        </w:rPr>
        <w:t>；</w:t>
      </w:r>
    </w:p>
    <w:p w14:paraId="04B21297">
      <w:pPr>
        <w:numPr>
          <w:ilvl w:val="0"/>
          <w:numId w:val="10"/>
        </w:numPr>
        <w:snapToGrid w:val="0"/>
        <w:spacing w:line="360" w:lineRule="auto"/>
        <w:rPr>
          <w:rFonts w:hint="eastAsia" w:ascii="宋体" w:hAnsi="宋体"/>
          <w:sz w:val="24"/>
        </w:rPr>
      </w:pPr>
      <w:r>
        <w:rPr>
          <w:rFonts w:hint="eastAsia" w:ascii="宋体" w:hAnsi="宋体"/>
          <w:sz w:val="24"/>
        </w:rPr>
        <w:t>绝缘系统温度(℃)：</w:t>
      </w:r>
      <w:r>
        <w:rPr>
          <w:rFonts w:ascii="宋体" w:hAnsi="宋体"/>
          <w:sz w:val="24"/>
        </w:rPr>
        <w:t>1</w:t>
      </w:r>
      <w:r>
        <w:rPr>
          <w:rFonts w:hint="eastAsia" w:ascii="宋体" w:hAnsi="宋体"/>
          <w:sz w:val="24"/>
        </w:rPr>
        <w:t>30；</w:t>
      </w:r>
    </w:p>
    <w:p w14:paraId="7BB59D17">
      <w:pPr>
        <w:numPr>
          <w:ilvl w:val="0"/>
          <w:numId w:val="10"/>
        </w:numPr>
        <w:snapToGrid w:val="0"/>
        <w:spacing w:line="360" w:lineRule="auto"/>
        <w:rPr>
          <w:rFonts w:hint="eastAsia" w:ascii="宋体" w:hAnsi="宋体"/>
          <w:sz w:val="24"/>
        </w:rPr>
      </w:pPr>
      <w:r>
        <w:rPr>
          <w:rFonts w:hint="eastAsia" w:ascii="宋体" w:hAnsi="宋体"/>
          <w:sz w:val="24"/>
        </w:rPr>
        <w:t>最高温升(</w:t>
      </w:r>
      <w:r>
        <w:rPr>
          <w:rFonts w:ascii="宋体" w:hAnsi="宋体"/>
          <w:sz w:val="24"/>
        </w:rPr>
        <w:t>K</w:t>
      </w:r>
      <w:r>
        <w:rPr>
          <w:rFonts w:hint="eastAsia" w:ascii="宋体" w:hAnsi="宋体"/>
          <w:sz w:val="24"/>
        </w:rPr>
        <w:t>)：80。</w:t>
      </w:r>
    </w:p>
    <w:p w14:paraId="2990E2EA">
      <w:pPr>
        <w:pStyle w:val="6"/>
        <w:spacing w:line="360" w:lineRule="auto"/>
        <w:ind w:right="-80" w:rightChars="-38" w:firstLine="480" w:firstLineChars="200"/>
        <w:rPr>
          <w:rFonts w:hint="eastAsia" w:hAnsi="宋体"/>
          <w:sz w:val="24"/>
          <w:szCs w:val="24"/>
        </w:rPr>
      </w:pPr>
      <w:r>
        <w:rPr>
          <w:rFonts w:hint="eastAsia" w:hAnsi="宋体"/>
          <w:sz w:val="24"/>
          <w:szCs w:val="24"/>
        </w:rPr>
        <w:t>铁芯、金属部件和与其相邻材料温升：在任何情况下，不会出现使铁芯本身、其他部件或与其相邻的材料受到损害的温度。</w:t>
      </w:r>
    </w:p>
    <w:p w14:paraId="26C7A8A1">
      <w:pPr>
        <w:pStyle w:val="6"/>
        <w:spacing w:line="360" w:lineRule="auto"/>
        <w:ind w:right="-80" w:rightChars="-38"/>
        <w:rPr>
          <w:rFonts w:hint="eastAsia" w:hAnsi="宋体"/>
          <w:color w:val="000000"/>
          <w:sz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.20</w:t>
      </w:r>
      <w:r>
        <w:rPr>
          <w:rFonts w:hint="eastAsia" w:hAnsi="宋体"/>
          <w:color w:val="000000"/>
          <w:sz w:val="24"/>
        </w:rPr>
        <w:t>绕组电阻不平衡率：对于2500kVA及以下的配电变压器，其不平衡率相为4％，线为2％；</w:t>
      </w:r>
    </w:p>
    <w:p w14:paraId="70A282DB">
      <w:pPr>
        <w:pStyle w:val="6"/>
        <w:spacing w:line="360" w:lineRule="auto"/>
        <w:ind w:right="-80" w:rightChars="-38"/>
        <w:rPr>
          <w:rFonts w:hint="eastAsia" w:hAnsi="宋体"/>
          <w:sz w:val="24"/>
          <w:szCs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.21</w:t>
      </w:r>
      <w:r>
        <w:rPr>
          <w:rFonts w:hint="eastAsia" w:hAnsi="宋体"/>
          <w:color w:val="000000"/>
          <w:sz w:val="24"/>
        </w:rPr>
        <w:t>当干式变压器安装于干式变柜(防护等级为IP</w:t>
      </w:r>
      <w:r>
        <w:rPr>
          <w:rFonts w:hint="eastAsia" w:hAnsi="宋体"/>
          <w:color w:val="000000"/>
          <w:sz w:val="24"/>
          <w:lang w:val="en-US" w:eastAsia="zh-CN"/>
        </w:rPr>
        <w:t>3</w:t>
      </w:r>
      <w:r>
        <w:rPr>
          <w:rFonts w:hint="eastAsia" w:hAnsi="宋体"/>
          <w:color w:val="000000"/>
          <w:sz w:val="24"/>
        </w:rPr>
        <w:t>3)内时，干式变压器的额定容量需考虑的热降容系数（热降容系数=降容后容量/额定容量）为</w:t>
      </w:r>
      <w:r>
        <w:rPr>
          <w:rFonts w:hAnsi="宋体"/>
          <w:color w:val="000000"/>
          <w:sz w:val="24"/>
        </w:rPr>
        <w:t>：</w:t>
      </w:r>
      <w:r>
        <w:rPr>
          <w:rFonts w:hAnsi="宋体"/>
          <w:color w:val="000000"/>
          <w:sz w:val="24"/>
          <w:u w:val="single"/>
        </w:rPr>
        <w:t xml:space="preserve"> </w:t>
      </w:r>
      <w:r>
        <w:rPr>
          <w:rFonts w:hint="eastAsia" w:hAnsi="宋体"/>
          <w:color w:val="000000"/>
          <w:sz w:val="24"/>
          <w:u w:val="single"/>
        </w:rPr>
        <w:t>100</w:t>
      </w:r>
      <w:r>
        <w:rPr>
          <w:rFonts w:hAnsi="宋体"/>
          <w:color w:val="000000"/>
          <w:sz w:val="24"/>
          <w:u w:val="single"/>
        </w:rPr>
        <w:t xml:space="preserve"> </w:t>
      </w:r>
      <w:r>
        <w:rPr>
          <w:rFonts w:hint="eastAsia" w:hAnsi="宋体"/>
          <w:color w:val="000000"/>
          <w:sz w:val="24"/>
        </w:rPr>
        <w:t>％。</w:t>
      </w:r>
    </w:p>
    <w:p w14:paraId="46D5BB01">
      <w:pPr>
        <w:spacing w:line="360" w:lineRule="auto"/>
        <w:ind w:left="1" w:right="-80" w:rightChars="-38"/>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.22</w:t>
      </w:r>
      <w:r>
        <w:rPr>
          <w:rFonts w:hint="eastAsia" w:ascii="宋体" w:hAnsi="宋体"/>
          <w:sz w:val="24"/>
          <w:szCs w:val="20"/>
        </w:rPr>
        <w:t>变压</w:t>
      </w:r>
      <w:r>
        <w:rPr>
          <w:rFonts w:hint="eastAsia" w:ascii="宋体" w:hAnsi="宋体"/>
          <w:sz w:val="24"/>
        </w:rPr>
        <w:t>器一次和二次引线的接线端子，有铜材制成，其接触表面洁净，没有裂纹、明显伤痕、毛刺、腐蚀斑痕缺陷及其他影响电接触和机械强度的缺陷，且有防松措施。</w:t>
      </w:r>
    </w:p>
    <w:p w14:paraId="30B621C6">
      <w:pPr>
        <w:spacing w:line="360" w:lineRule="auto"/>
        <w:ind w:right="-80" w:rightChars="-38"/>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.23</w:t>
      </w:r>
      <w:r>
        <w:rPr>
          <w:rFonts w:hint="eastAsia" w:ascii="宋体" w:hAnsi="宋体"/>
          <w:sz w:val="24"/>
          <w:szCs w:val="20"/>
        </w:rPr>
        <w:t xml:space="preserve"> </w:t>
      </w:r>
      <w:r>
        <w:rPr>
          <w:rFonts w:hint="eastAsia" w:ascii="宋体" w:hAnsi="宋体"/>
          <w:sz w:val="24"/>
        </w:rPr>
        <w:t>高压绕组表面(包封绕组树脂表面)易见位置，有“高压危险”的标志。</w:t>
      </w:r>
    </w:p>
    <w:p w14:paraId="08AFD83C">
      <w:pPr>
        <w:spacing w:line="360" w:lineRule="auto"/>
        <w:ind w:left="600" w:right="-80" w:rightChars="-38" w:hanging="600" w:hangingChars="250"/>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.24</w:t>
      </w:r>
      <w:r>
        <w:rPr>
          <w:rFonts w:hint="eastAsia" w:ascii="宋体" w:hAnsi="宋体"/>
          <w:sz w:val="24"/>
        </w:rPr>
        <w:t>变压器设有承受整体总重量的起吊装置。变压器装有底脚，其上设有安装用的定位孔，孔中心距离(纵向尺寸按标准值选取)。</w:t>
      </w:r>
    </w:p>
    <w:p w14:paraId="28258295">
      <w:pPr>
        <w:spacing w:line="360" w:lineRule="auto"/>
        <w:ind w:left="600" w:right="-80" w:rightChars="-38" w:hanging="600" w:hangingChars="250"/>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.25</w:t>
      </w:r>
      <w:r>
        <w:rPr>
          <w:rFonts w:hint="eastAsia" w:ascii="宋体" w:hAnsi="宋体"/>
          <w:sz w:val="24"/>
        </w:rPr>
        <w:t>变压器铁芯和金属件均可靠接地(铁轭螺杆除外)。接地装置有防锈镀层，并附有明显的接地标志。</w:t>
      </w:r>
    </w:p>
    <w:p w14:paraId="15B698A5">
      <w:pPr>
        <w:spacing w:line="360" w:lineRule="auto"/>
        <w:ind w:right="-80" w:rightChars="-38"/>
        <w:rPr>
          <w:rFonts w:ascii="宋体" w:hAnsi="宋体"/>
          <w:sz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.26</w:t>
      </w:r>
      <w:r>
        <w:rPr>
          <w:rFonts w:hint="eastAsia" w:ascii="宋体" w:hAnsi="宋体"/>
          <w:sz w:val="24"/>
        </w:rPr>
        <w:t>配套设备</w:t>
      </w:r>
    </w:p>
    <w:p w14:paraId="3C6304EB">
      <w:pPr>
        <w:snapToGrid w:val="0"/>
        <w:spacing w:line="360" w:lineRule="auto"/>
        <w:rPr>
          <w:rFonts w:hint="eastAsia" w:ascii="宋体" w:hAnsi="宋体"/>
          <w:color w:val="000000"/>
          <w:sz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.26</w:t>
      </w:r>
      <w:r>
        <w:rPr>
          <w:rFonts w:hint="eastAsia" w:ascii="宋体" w:hAnsi="宋体"/>
          <w:sz w:val="24"/>
          <w:szCs w:val="20"/>
        </w:rPr>
        <w:t>.1</w:t>
      </w:r>
      <w:r>
        <w:rPr>
          <w:rFonts w:hint="eastAsia" w:ascii="宋体" w:hAnsi="宋体"/>
          <w:color w:val="000000"/>
          <w:sz w:val="24"/>
        </w:rPr>
        <w:t>每台变压器应配备一套温控仪XHC-GB5100，以显示热点温度。温控器提供绕组及铁芯温度</w:t>
      </w:r>
      <w:r>
        <w:rPr>
          <w:rFonts w:ascii="宋体" w:hAnsi="宋体"/>
          <w:color w:val="000000"/>
          <w:sz w:val="24"/>
        </w:rPr>
        <w:t>4</w:t>
      </w:r>
      <w:r>
        <w:rPr>
          <w:rFonts w:hint="eastAsia" w:ascii="宋体" w:hAnsi="宋体"/>
          <w:color w:val="000000"/>
          <w:sz w:val="24"/>
        </w:rPr>
        <w:t>～</w:t>
      </w:r>
      <w:r>
        <w:rPr>
          <w:rFonts w:ascii="宋体" w:hAnsi="宋体"/>
          <w:color w:val="000000"/>
          <w:sz w:val="24"/>
        </w:rPr>
        <w:t>20mA</w:t>
      </w:r>
      <w:r>
        <w:rPr>
          <w:rFonts w:hint="eastAsia" w:ascii="宋体" w:hAnsi="宋体"/>
          <w:color w:val="000000"/>
          <w:sz w:val="24"/>
        </w:rPr>
        <w:t>模拟量和</w:t>
      </w:r>
      <w:r>
        <w:rPr>
          <w:rFonts w:ascii="宋体" w:hAnsi="宋体"/>
          <w:color w:val="000000"/>
          <w:sz w:val="24"/>
        </w:rPr>
        <w:t>RS485</w:t>
      </w:r>
      <w:r>
        <w:rPr>
          <w:rFonts w:hint="eastAsia" w:ascii="宋体" w:hAnsi="宋体"/>
          <w:color w:val="000000"/>
          <w:sz w:val="24"/>
        </w:rPr>
        <w:t>计算机接口，预留二对超温报警辅助接点，用于指示和保护。温控器一般以嵌装方式固定于变压器外罩上，输出和输出端子全部采用插拔式插件，以满足周期检定时在不停电条件下实现仪表快速安装的需要。温控器应满足抗震、电磁干扰不敏感、显示数字和动作正确的要求，使用寿命</w:t>
      </w:r>
      <w:r>
        <w:rPr>
          <w:rFonts w:ascii="宋体" w:hAnsi="宋体"/>
          <w:color w:val="000000"/>
          <w:sz w:val="24"/>
        </w:rPr>
        <w:t>20</w:t>
      </w:r>
      <w:r>
        <w:rPr>
          <w:rFonts w:hint="eastAsia" w:ascii="宋体" w:hAnsi="宋体"/>
          <w:color w:val="000000"/>
          <w:sz w:val="24"/>
        </w:rPr>
        <w:t>年。三个PT100测温元件分别埋设在三相低压绕组最热部位的测温孔内。温度监控器应具有下述功能(不限于此)：</w:t>
      </w:r>
    </w:p>
    <w:p w14:paraId="16195E1F">
      <w:pPr>
        <w:numPr>
          <w:ilvl w:val="0"/>
          <w:numId w:val="11"/>
        </w:numPr>
        <w:snapToGrid w:val="0"/>
        <w:spacing w:line="360" w:lineRule="auto"/>
        <w:ind w:left="-9" w:firstLine="468" w:firstLineChars="195"/>
        <w:rPr>
          <w:rFonts w:hint="eastAsia" w:ascii="宋体" w:hAnsi="宋体"/>
          <w:color w:val="000000"/>
          <w:sz w:val="24"/>
        </w:rPr>
      </w:pPr>
      <w:r>
        <w:rPr>
          <w:rFonts w:hint="eastAsia" w:ascii="宋体" w:hAnsi="宋体"/>
          <w:color w:val="000000"/>
          <w:sz w:val="24"/>
        </w:rPr>
        <w:t>可自动监测并显示三相绕组的温度。</w:t>
      </w:r>
    </w:p>
    <w:p w14:paraId="391941E4">
      <w:pPr>
        <w:numPr>
          <w:ilvl w:val="0"/>
          <w:numId w:val="11"/>
        </w:numPr>
        <w:snapToGrid w:val="0"/>
        <w:spacing w:line="360" w:lineRule="auto"/>
        <w:ind w:left="-9" w:firstLine="468" w:firstLineChars="195"/>
        <w:rPr>
          <w:rFonts w:hint="eastAsia" w:ascii="宋体" w:hAnsi="宋体"/>
          <w:color w:val="000000"/>
          <w:sz w:val="24"/>
        </w:rPr>
      </w:pPr>
      <w:r>
        <w:rPr>
          <w:rFonts w:hint="eastAsia" w:ascii="宋体" w:hAnsi="宋体"/>
          <w:color w:val="000000"/>
          <w:sz w:val="24"/>
        </w:rPr>
        <w:t>当任一绕组温度达到设定温度时，如∶温度达到100℃时，自动起动风机；低于80℃时，自动停止风机；超过130℃时，自动报警并起动远方报警装置，超过150℃时，发出跳闸命令。</w:t>
      </w:r>
    </w:p>
    <w:p w14:paraId="26AD09E3">
      <w:pPr>
        <w:numPr>
          <w:ilvl w:val="0"/>
          <w:numId w:val="11"/>
        </w:numPr>
        <w:snapToGrid w:val="0"/>
        <w:spacing w:line="360" w:lineRule="auto"/>
        <w:ind w:left="-9" w:firstLine="468" w:firstLineChars="195"/>
        <w:rPr>
          <w:rFonts w:hint="eastAsia" w:ascii="宋体" w:hAnsi="宋体"/>
          <w:color w:val="000000"/>
          <w:sz w:val="24"/>
        </w:rPr>
      </w:pPr>
      <w:r>
        <w:rPr>
          <w:rFonts w:hint="eastAsia" w:ascii="宋体" w:hAnsi="宋体"/>
          <w:color w:val="000000"/>
          <w:sz w:val="24"/>
        </w:rPr>
        <w:t>温度设定现场可调。</w:t>
      </w:r>
    </w:p>
    <w:p w14:paraId="177A8787">
      <w:pPr>
        <w:snapToGrid w:val="0"/>
        <w:spacing w:line="360" w:lineRule="auto"/>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.26</w:t>
      </w:r>
      <w:r>
        <w:rPr>
          <w:rFonts w:hint="eastAsia" w:ascii="宋体" w:hAnsi="宋体"/>
          <w:sz w:val="24"/>
          <w:szCs w:val="20"/>
        </w:rPr>
        <w:t>.</w:t>
      </w:r>
      <w:r>
        <w:rPr>
          <w:rFonts w:hint="eastAsia" w:ascii="宋体" w:hAnsi="宋体"/>
          <w:sz w:val="24"/>
          <w:szCs w:val="20"/>
          <w:lang w:val="en-US" w:eastAsia="zh-CN"/>
        </w:rPr>
        <w:t>2</w:t>
      </w:r>
      <w:r>
        <w:rPr>
          <w:rFonts w:hint="eastAsia" w:ascii="宋体" w:hAnsi="宋体"/>
          <w:color w:val="000000"/>
          <w:sz w:val="24"/>
        </w:rPr>
        <w:t>变压器应成套供给强迫空气冷却系统。冷却系统能自动和手动起动，当变压器热点温度超过上述规定值时能自起动。冷却系统应提供一只手动操作的</w:t>
      </w:r>
      <w:r>
        <w:rPr>
          <w:rFonts w:ascii="宋体" w:hAnsi="宋体"/>
          <w:color w:val="000000"/>
          <w:sz w:val="24"/>
        </w:rPr>
        <w:t>“</w:t>
      </w:r>
      <w:r>
        <w:rPr>
          <w:rFonts w:hint="eastAsia" w:ascii="宋体" w:hAnsi="宋体"/>
          <w:color w:val="000000"/>
          <w:sz w:val="24"/>
        </w:rPr>
        <w:t>自动－手动</w:t>
      </w:r>
      <w:r>
        <w:rPr>
          <w:rFonts w:ascii="宋体" w:hAnsi="宋体"/>
          <w:color w:val="000000"/>
          <w:sz w:val="24"/>
        </w:rPr>
        <w:t>”</w:t>
      </w:r>
      <w:r>
        <w:rPr>
          <w:rFonts w:hint="eastAsia" w:ascii="宋体" w:hAnsi="宋体"/>
          <w:color w:val="000000"/>
          <w:sz w:val="24"/>
        </w:rPr>
        <w:t>两个位置的切换开关，用以选择冷却风扇的运行方式。变压器柜内的冷却风扇必须有备用，且任一风扇退出运行不会引起容量降低，任一风扇故障应有现场指示信号和远方报警输出</w:t>
      </w:r>
      <w:r>
        <w:rPr>
          <w:rFonts w:hint="eastAsia" w:ascii="宋体" w:hAnsi="宋体"/>
          <w:sz w:val="24"/>
        </w:rPr>
        <w:t>。</w:t>
      </w:r>
    </w:p>
    <w:p w14:paraId="4616EBA9">
      <w:pPr>
        <w:snapToGrid w:val="0"/>
        <w:spacing w:line="360" w:lineRule="auto"/>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.26</w:t>
      </w:r>
      <w:r>
        <w:rPr>
          <w:rFonts w:hint="eastAsia" w:ascii="宋体" w:hAnsi="宋体"/>
          <w:sz w:val="24"/>
          <w:szCs w:val="20"/>
        </w:rPr>
        <w:t>.</w:t>
      </w:r>
      <w:r>
        <w:rPr>
          <w:rFonts w:hint="eastAsia" w:ascii="宋体" w:hAnsi="宋体"/>
          <w:sz w:val="24"/>
          <w:szCs w:val="20"/>
          <w:lang w:val="en-US" w:eastAsia="zh-CN"/>
        </w:rPr>
        <w:t>3</w:t>
      </w:r>
      <w:r>
        <w:rPr>
          <w:rFonts w:hint="eastAsia" w:ascii="宋体" w:hAnsi="宋体"/>
          <w:color w:val="000000"/>
          <w:sz w:val="24"/>
        </w:rPr>
        <w:t>冷却控制系统的控制操作元件装于温度控制箱内，并完成连线。温度控制箱布置于变压器外壳便于观察、操作的适当位置。</w:t>
      </w:r>
    </w:p>
    <w:p w14:paraId="7F25903F">
      <w:pPr>
        <w:snapToGrid w:val="0"/>
        <w:spacing w:line="360" w:lineRule="auto"/>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.26</w:t>
      </w:r>
      <w:r>
        <w:rPr>
          <w:rFonts w:hint="eastAsia" w:ascii="宋体" w:hAnsi="宋体"/>
          <w:sz w:val="24"/>
          <w:szCs w:val="20"/>
        </w:rPr>
        <w:t>.</w:t>
      </w:r>
      <w:r>
        <w:rPr>
          <w:rFonts w:hint="eastAsia" w:ascii="宋体" w:hAnsi="宋体"/>
          <w:sz w:val="24"/>
          <w:szCs w:val="20"/>
          <w:lang w:val="en-US" w:eastAsia="zh-CN"/>
        </w:rPr>
        <w:t>4</w:t>
      </w:r>
      <w:r>
        <w:rPr>
          <w:rFonts w:hint="eastAsia" w:ascii="宋体" w:hAnsi="宋体"/>
          <w:sz w:val="24"/>
        </w:rPr>
        <w:t>温度控制箱导线采用铜绞线，绝缘电压不低于600V，截面不小于1.5mm</w:t>
      </w:r>
      <w:r>
        <w:rPr>
          <w:rFonts w:hint="eastAsia" w:ascii="宋体" w:hAnsi="宋体"/>
          <w:sz w:val="24"/>
          <w:vertAlign w:val="superscript"/>
        </w:rPr>
        <w:t>2</w:t>
      </w:r>
      <w:r>
        <w:rPr>
          <w:rFonts w:hint="eastAsia" w:ascii="宋体" w:hAnsi="宋体"/>
          <w:sz w:val="24"/>
        </w:rPr>
        <w:t>，用于电流回路的导线截面不小于2.5mm</w:t>
      </w:r>
      <w:r>
        <w:rPr>
          <w:rFonts w:hint="eastAsia" w:ascii="宋体" w:hAnsi="宋体"/>
          <w:sz w:val="24"/>
          <w:vertAlign w:val="superscript"/>
        </w:rPr>
        <w:t>2</w:t>
      </w:r>
      <w:r>
        <w:rPr>
          <w:rFonts w:hint="eastAsia" w:ascii="宋体" w:hAnsi="宋体"/>
          <w:sz w:val="24"/>
        </w:rPr>
        <w:t>。</w:t>
      </w:r>
    </w:p>
    <w:p w14:paraId="7B2315F5">
      <w:pPr>
        <w:snapToGrid w:val="0"/>
        <w:spacing w:line="360" w:lineRule="auto"/>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.26</w:t>
      </w:r>
      <w:r>
        <w:rPr>
          <w:rFonts w:hint="eastAsia" w:ascii="宋体" w:hAnsi="宋体"/>
          <w:sz w:val="24"/>
          <w:szCs w:val="20"/>
        </w:rPr>
        <w:t>.</w:t>
      </w:r>
      <w:r>
        <w:rPr>
          <w:rFonts w:hint="eastAsia" w:ascii="宋体" w:hAnsi="宋体"/>
          <w:sz w:val="24"/>
          <w:szCs w:val="20"/>
          <w:lang w:val="en-US" w:eastAsia="zh-CN"/>
        </w:rPr>
        <w:t>5</w:t>
      </w:r>
      <w:r>
        <w:rPr>
          <w:rFonts w:hint="eastAsia" w:ascii="宋体" w:hAnsi="宋体"/>
          <w:sz w:val="24"/>
        </w:rPr>
        <w:t>温度控制箱应留有不少于总端子数15%、最少不少于10个的备用端子。</w:t>
      </w:r>
    </w:p>
    <w:p w14:paraId="3DB3FA88">
      <w:pPr>
        <w:snapToGrid w:val="0"/>
        <w:spacing w:line="360" w:lineRule="auto"/>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.26</w:t>
      </w:r>
      <w:r>
        <w:rPr>
          <w:rFonts w:hint="eastAsia" w:ascii="宋体" w:hAnsi="宋体"/>
          <w:sz w:val="24"/>
          <w:szCs w:val="20"/>
        </w:rPr>
        <w:t>.</w:t>
      </w:r>
      <w:r>
        <w:rPr>
          <w:rFonts w:hint="eastAsia" w:ascii="宋体" w:hAnsi="宋体"/>
          <w:sz w:val="24"/>
          <w:szCs w:val="20"/>
          <w:lang w:val="en-US" w:eastAsia="zh-CN"/>
        </w:rPr>
        <w:t>6</w:t>
      </w:r>
      <w:r>
        <w:rPr>
          <w:rFonts w:hint="eastAsia" w:ascii="宋体" w:hAnsi="宋体"/>
          <w:sz w:val="24"/>
        </w:rPr>
        <w:t>风扇电机应是长期工作制、低噪声、无振动、长寿命的。</w:t>
      </w:r>
    </w:p>
    <w:p w14:paraId="3909EA53">
      <w:pPr>
        <w:snapToGrid w:val="0"/>
        <w:spacing w:line="360" w:lineRule="auto"/>
        <w:rPr>
          <w:rFonts w:ascii="宋体" w:hAnsi="宋体"/>
          <w:sz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.26</w:t>
      </w:r>
      <w:r>
        <w:rPr>
          <w:rFonts w:hint="eastAsia" w:ascii="宋体" w:hAnsi="宋体"/>
          <w:sz w:val="24"/>
          <w:szCs w:val="20"/>
        </w:rPr>
        <w:t>.</w:t>
      </w:r>
      <w:r>
        <w:rPr>
          <w:rFonts w:hint="eastAsia" w:ascii="宋体" w:hAnsi="宋体"/>
          <w:sz w:val="24"/>
          <w:szCs w:val="20"/>
          <w:lang w:val="en-US" w:eastAsia="zh-CN"/>
        </w:rPr>
        <w:t>7</w:t>
      </w:r>
      <w:r>
        <w:rPr>
          <w:rFonts w:hint="eastAsia" w:ascii="宋体" w:hAnsi="宋体"/>
          <w:sz w:val="24"/>
        </w:rPr>
        <w:t>采用强迫冷却时，变压器的出力应达到自然冷却时的150%，温升不超过变压器的额定温升。变压器加壳罩后，不应降低变压器容量。</w:t>
      </w:r>
    </w:p>
    <w:p w14:paraId="0112BB74">
      <w:pPr>
        <w:spacing w:line="360" w:lineRule="auto"/>
        <w:ind w:right="-80" w:rightChars="-38"/>
        <w:rPr>
          <w:rFonts w:hint="eastAsia" w:ascii="宋体" w:hAnsi="宋体"/>
          <w:sz w:val="24"/>
        </w:rPr>
      </w:pPr>
      <w:r>
        <w:rPr>
          <w:rFonts w:hint="eastAsia" w:ascii="宋体" w:hAnsi="宋体" w:eastAsiaTheme="minorEastAsia" w:cstheme="minorBidi"/>
          <w:kern w:val="2"/>
          <w:sz w:val="24"/>
          <w:szCs w:val="24"/>
          <w:lang w:val="en-US" w:eastAsia="zh-CN" w:bidi="ar-SA"/>
        </w:rPr>
        <w:t>4.2.2</w:t>
      </w:r>
      <w:r>
        <w:rPr>
          <w:rFonts w:hint="eastAsia" w:hAnsi="宋体"/>
          <w:sz w:val="24"/>
          <w:lang w:val="en-US" w:eastAsia="zh-CN"/>
        </w:rPr>
        <w:t>.26</w:t>
      </w:r>
      <w:r>
        <w:rPr>
          <w:rFonts w:hint="eastAsia" w:ascii="宋体" w:hAnsi="宋体"/>
          <w:sz w:val="24"/>
          <w:szCs w:val="20"/>
        </w:rPr>
        <w:t>.</w:t>
      </w:r>
      <w:r>
        <w:rPr>
          <w:rFonts w:hint="eastAsia" w:ascii="宋体" w:hAnsi="宋体"/>
          <w:sz w:val="24"/>
          <w:szCs w:val="20"/>
          <w:lang w:val="en-US" w:eastAsia="zh-CN"/>
        </w:rPr>
        <w:t>8</w:t>
      </w:r>
      <w:r>
        <w:rPr>
          <w:rFonts w:hint="eastAsia" w:ascii="宋体" w:hAnsi="宋体"/>
          <w:sz w:val="24"/>
        </w:rPr>
        <w:t>温度控制箱控制电源为交流220V，控制箱内应设置空气断路器作电源回路的保护。</w:t>
      </w:r>
    </w:p>
    <w:p w14:paraId="526B92E9">
      <w:pPr>
        <w:rPr>
          <w:rFonts w:hint="default" w:ascii="宋体" w:hAnsi="宋体"/>
          <w:sz w:val="24"/>
          <w:lang w:val="en-US" w:eastAsia="zh-CN"/>
        </w:rPr>
      </w:pPr>
      <w:r>
        <w:rPr>
          <w:rFonts w:hint="eastAsia" w:ascii="宋体" w:hAnsi="宋体"/>
          <w:sz w:val="24"/>
          <w:lang w:val="en-US" w:eastAsia="zh-CN"/>
        </w:rPr>
        <w:t>4.2.3开关柜</w:t>
      </w:r>
    </w:p>
    <w:p w14:paraId="3A29C950">
      <w:pPr>
        <w:ind w:firstLine="480" w:firstLineChars="200"/>
        <w:rPr>
          <w:rFonts w:ascii="宋体" w:hAnsi="宋体"/>
          <w:sz w:val="24"/>
        </w:rPr>
      </w:pPr>
      <w:r>
        <w:rPr>
          <w:rFonts w:hint="eastAsia" w:ascii="宋体" w:hAnsi="宋体"/>
          <w:sz w:val="24"/>
        </w:rPr>
        <w:t>投标方应提供投标断路器的柜型的型式试验报告和</w:t>
      </w:r>
      <w:r>
        <w:rPr>
          <w:rFonts w:ascii="宋体" w:hAnsi="宋体"/>
          <w:sz w:val="24"/>
        </w:rPr>
        <w:t>”</w:t>
      </w:r>
      <w:r>
        <w:rPr>
          <w:rFonts w:hint="eastAsia" w:ascii="宋体" w:hAnsi="宋体"/>
          <w:sz w:val="24"/>
        </w:rPr>
        <w:t>3C</w:t>
      </w:r>
      <w:r>
        <w:rPr>
          <w:rFonts w:ascii="宋体" w:hAnsi="宋体"/>
          <w:sz w:val="24"/>
        </w:rPr>
        <w:t>”</w:t>
      </w:r>
      <w:r>
        <w:rPr>
          <w:rFonts w:hint="eastAsia" w:ascii="宋体" w:hAnsi="宋体"/>
          <w:sz w:val="24"/>
        </w:rPr>
        <w:t>强制认证报告，</w:t>
      </w:r>
      <w:r>
        <w:rPr>
          <w:rFonts w:ascii="宋体" w:hAnsi="宋体"/>
          <w:sz w:val="24"/>
        </w:rPr>
        <w:t>投标方应保证提供的产品符合安全、健康、环保标准的要求。应能适应安装地高湿度、高盐雾环境条件。投标方对成套设备（含辅助系统与设备）负有全部技术及质量责任，包括分包（或采购）的设备和零部件。</w:t>
      </w:r>
    </w:p>
    <w:p w14:paraId="00C83342">
      <w:pPr>
        <w:spacing w:line="360" w:lineRule="auto"/>
        <w:ind w:left="3000" w:hanging="3000" w:hangingChars="1250"/>
        <w:rPr>
          <w:rFonts w:hint="eastAsia"/>
          <w:color w:val="000000"/>
          <w:sz w:val="28"/>
          <w:szCs w:val="28"/>
        </w:rPr>
      </w:pPr>
      <w:r>
        <w:rPr>
          <w:rFonts w:hint="eastAsia" w:ascii="宋体" w:hAnsi="宋体"/>
          <w:sz w:val="24"/>
          <w:lang w:val="en-US" w:eastAsia="zh-CN"/>
        </w:rPr>
        <w:t>4.2.3.</w:t>
      </w:r>
      <w:r>
        <w:rPr>
          <w:rFonts w:hint="eastAsia" w:ascii="宋体" w:hAnsi="宋体"/>
          <w:sz w:val="24"/>
        </w:rPr>
        <w:t>1 开关柜型式：     MNS型抽屉（出）式低压开关柜</w:t>
      </w:r>
    </w:p>
    <w:p w14:paraId="0F668ABA">
      <w:pPr>
        <w:adjustRightInd w:val="0"/>
        <w:snapToGrid w:val="0"/>
        <w:spacing w:line="360" w:lineRule="auto"/>
        <w:rPr>
          <w:rFonts w:hint="eastAsia" w:ascii="宋体" w:hAnsi="宋体"/>
          <w:sz w:val="24"/>
        </w:rPr>
      </w:pPr>
      <w:r>
        <w:rPr>
          <w:rFonts w:hint="eastAsia" w:ascii="宋体" w:hAnsi="宋体"/>
          <w:sz w:val="24"/>
          <w:lang w:val="en-US" w:eastAsia="zh-CN"/>
        </w:rPr>
        <w:t>4.2.3.</w:t>
      </w:r>
      <w:r>
        <w:rPr>
          <w:rFonts w:hint="eastAsia" w:ascii="宋体" w:hAnsi="宋体"/>
          <w:sz w:val="24"/>
        </w:rPr>
        <w:t>2 开关柜主要参数：</w:t>
      </w:r>
    </w:p>
    <w:p w14:paraId="082DC593">
      <w:pPr>
        <w:numPr>
          <w:ilvl w:val="0"/>
          <w:numId w:val="12"/>
        </w:numPr>
        <w:adjustRightInd w:val="0"/>
        <w:snapToGrid w:val="0"/>
        <w:spacing w:line="360" w:lineRule="auto"/>
        <w:rPr>
          <w:rFonts w:hint="eastAsia" w:ascii="宋体" w:hAnsi="宋体"/>
          <w:sz w:val="24"/>
        </w:rPr>
      </w:pPr>
      <w:r>
        <w:rPr>
          <w:rFonts w:hint="eastAsia" w:ascii="宋体" w:hAnsi="宋体"/>
          <w:sz w:val="24"/>
        </w:rPr>
        <w:t>额定电压：</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380V</w:t>
      </w:r>
    </w:p>
    <w:p w14:paraId="45B1D51C">
      <w:pPr>
        <w:numPr>
          <w:ilvl w:val="0"/>
          <w:numId w:val="12"/>
        </w:numPr>
        <w:adjustRightInd w:val="0"/>
        <w:snapToGrid w:val="0"/>
        <w:spacing w:line="360" w:lineRule="auto"/>
        <w:rPr>
          <w:rFonts w:hint="eastAsia" w:ascii="宋体" w:hAnsi="宋体"/>
          <w:sz w:val="24"/>
        </w:rPr>
      </w:pPr>
      <w:r>
        <w:rPr>
          <w:rFonts w:hint="eastAsia" w:ascii="宋体" w:hAnsi="宋体"/>
          <w:sz w:val="24"/>
        </w:rPr>
        <w:t>额定绝缘电压：</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1000V</w:t>
      </w:r>
    </w:p>
    <w:p w14:paraId="594BA126">
      <w:pPr>
        <w:numPr>
          <w:ilvl w:val="0"/>
          <w:numId w:val="12"/>
        </w:numPr>
        <w:adjustRightInd w:val="0"/>
        <w:snapToGrid w:val="0"/>
        <w:spacing w:line="360" w:lineRule="auto"/>
        <w:rPr>
          <w:rFonts w:hint="eastAsia" w:ascii="宋体" w:hAnsi="宋体"/>
          <w:sz w:val="24"/>
        </w:rPr>
      </w:pPr>
      <w:r>
        <w:rPr>
          <w:rFonts w:hint="eastAsia" w:ascii="宋体" w:hAnsi="宋体"/>
          <w:sz w:val="24"/>
        </w:rPr>
        <w:t>相数：</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三相五线（A、B、C、N、PE）材质：铜</w:t>
      </w:r>
    </w:p>
    <w:p w14:paraId="39F0AB92">
      <w:pPr>
        <w:numPr>
          <w:ilvl w:val="0"/>
          <w:numId w:val="12"/>
        </w:numPr>
        <w:tabs>
          <w:tab w:val="clear" w:pos="420"/>
        </w:tabs>
        <w:snapToGrid w:val="0"/>
        <w:spacing w:line="360" w:lineRule="auto"/>
        <w:ind w:left="3420" w:hanging="3420"/>
        <w:rPr>
          <w:rFonts w:hint="eastAsia" w:ascii="宋体" w:hAnsi="宋体"/>
          <w:sz w:val="24"/>
        </w:rPr>
      </w:pPr>
      <w:r>
        <w:rPr>
          <w:rFonts w:hint="eastAsia" w:ascii="宋体" w:hAnsi="宋体"/>
          <w:sz w:val="24"/>
        </w:rPr>
        <w:t>水平母线额定电流</w:t>
      </w:r>
      <w:r>
        <w:rPr>
          <w:rFonts w:hint="eastAsia" w:ascii="宋体" w:hAnsi="宋体"/>
          <w:sz w:val="24"/>
          <w:lang w:val="en-US" w:eastAsia="zh-CN"/>
        </w:rPr>
        <w:t>应大于设计电流的1.1倍</w:t>
      </w:r>
      <w:r>
        <w:rPr>
          <w:rFonts w:hint="eastAsia" w:ascii="宋体" w:hAnsi="宋体"/>
          <w:sz w:val="24"/>
        </w:rPr>
        <w:t>：</w:t>
      </w:r>
    </w:p>
    <w:p w14:paraId="2FFE9A7E">
      <w:pPr>
        <w:numPr>
          <w:ilvl w:val="0"/>
          <w:numId w:val="12"/>
        </w:numPr>
        <w:snapToGrid w:val="0"/>
        <w:spacing w:line="360" w:lineRule="auto"/>
        <w:rPr>
          <w:sz w:val="24"/>
        </w:rPr>
      </w:pPr>
      <w:r>
        <w:rPr>
          <w:rFonts w:hint="eastAsia"/>
          <w:sz w:val="24"/>
        </w:rPr>
        <w:t>各分支垂直母线额定电流：应≥</w:t>
      </w:r>
      <w:r>
        <w:rPr>
          <w:sz w:val="24"/>
        </w:rPr>
        <w:t>1000A</w:t>
      </w:r>
      <w:r>
        <w:rPr>
          <w:rFonts w:hint="eastAsia"/>
          <w:sz w:val="24"/>
        </w:rPr>
        <w:t>。材质：铜。</w:t>
      </w:r>
    </w:p>
    <w:p w14:paraId="2BE91BB4">
      <w:pPr>
        <w:numPr>
          <w:ilvl w:val="0"/>
          <w:numId w:val="12"/>
        </w:numPr>
        <w:snapToGrid w:val="0"/>
        <w:spacing w:line="360" w:lineRule="auto"/>
        <w:rPr>
          <w:sz w:val="24"/>
        </w:rPr>
      </w:pPr>
      <w:r>
        <w:rPr>
          <w:rFonts w:hint="eastAsia"/>
          <w:sz w:val="24"/>
        </w:rPr>
        <w:t>短时热稳定电流（有效值）：50</w:t>
      </w:r>
      <w:r>
        <w:rPr>
          <w:sz w:val="24"/>
        </w:rPr>
        <w:t xml:space="preserve">kA </w:t>
      </w:r>
    </w:p>
    <w:p w14:paraId="62453525">
      <w:pPr>
        <w:numPr>
          <w:ilvl w:val="0"/>
          <w:numId w:val="12"/>
        </w:numPr>
        <w:snapToGrid w:val="0"/>
        <w:spacing w:line="360" w:lineRule="auto"/>
        <w:rPr>
          <w:sz w:val="24"/>
        </w:rPr>
      </w:pPr>
      <w:r>
        <w:rPr>
          <w:rFonts w:hint="eastAsia"/>
          <w:sz w:val="24"/>
        </w:rPr>
        <w:t>短时动稳定电流</w:t>
      </w:r>
      <w:r>
        <w:rPr>
          <w:sz w:val="24"/>
        </w:rPr>
        <w:t>（</w:t>
      </w:r>
      <w:r>
        <w:rPr>
          <w:rFonts w:hint="eastAsia"/>
          <w:sz w:val="24"/>
        </w:rPr>
        <w:t>峰值</w:t>
      </w:r>
      <w:r>
        <w:rPr>
          <w:sz w:val="24"/>
        </w:rPr>
        <w:t>）</w:t>
      </w:r>
      <w:r>
        <w:rPr>
          <w:rFonts w:hint="eastAsia"/>
          <w:sz w:val="24"/>
        </w:rPr>
        <w:t>：105</w:t>
      </w:r>
      <w:r>
        <w:rPr>
          <w:sz w:val="24"/>
        </w:rPr>
        <w:t xml:space="preserve">kA </w:t>
      </w:r>
    </w:p>
    <w:p w14:paraId="4ADD4211">
      <w:pPr>
        <w:numPr>
          <w:ilvl w:val="0"/>
          <w:numId w:val="12"/>
        </w:numPr>
        <w:snapToGrid w:val="0"/>
        <w:spacing w:line="360" w:lineRule="auto"/>
        <w:rPr>
          <w:sz w:val="24"/>
        </w:rPr>
      </w:pPr>
      <w:r>
        <w:rPr>
          <w:rFonts w:hint="eastAsia"/>
          <w:sz w:val="24"/>
        </w:rPr>
        <w:t>短时热稳定电流持续时间：</w:t>
      </w:r>
      <w:r>
        <w:rPr>
          <w:sz w:val="24"/>
        </w:rPr>
        <w:t xml:space="preserve"> 1sec</w:t>
      </w:r>
    </w:p>
    <w:p w14:paraId="1F8DABB2">
      <w:pPr>
        <w:numPr>
          <w:ilvl w:val="0"/>
          <w:numId w:val="12"/>
        </w:numPr>
        <w:snapToGrid w:val="0"/>
        <w:spacing w:line="360" w:lineRule="auto"/>
        <w:rPr>
          <w:rFonts w:hint="eastAsia"/>
          <w:sz w:val="24"/>
        </w:rPr>
      </w:pPr>
      <w:r>
        <w:rPr>
          <w:rFonts w:hint="eastAsia"/>
          <w:sz w:val="24"/>
        </w:rPr>
        <w:t>一分钟工频耐受电压（方均根值）：3.5</w:t>
      </w:r>
      <w:r>
        <w:rPr>
          <w:sz w:val="24"/>
        </w:rPr>
        <w:t>kV</w:t>
      </w:r>
    </w:p>
    <w:p w14:paraId="11E24C57">
      <w:pPr>
        <w:numPr>
          <w:ilvl w:val="0"/>
          <w:numId w:val="12"/>
        </w:numPr>
        <w:snapToGrid w:val="0"/>
        <w:spacing w:line="360" w:lineRule="auto"/>
        <w:rPr>
          <w:sz w:val="24"/>
        </w:rPr>
      </w:pPr>
      <w:r>
        <w:rPr>
          <w:rFonts w:hint="eastAsia"/>
          <w:sz w:val="24"/>
        </w:rPr>
        <w:t>防护等级：外壳的防护等级不低于IP33</w:t>
      </w:r>
    </w:p>
    <w:p w14:paraId="7C3AC3F6">
      <w:pPr>
        <w:snapToGrid w:val="0"/>
        <w:spacing w:line="360" w:lineRule="auto"/>
        <w:ind w:firstLine="420"/>
        <w:rPr>
          <w:rFonts w:hint="eastAsia"/>
          <w:sz w:val="24"/>
        </w:rPr>
      </w:pPr>
      <w:r>
        <w:rPr>
          <w:rFonts w:hint="eastAsia"/>
          <w:sz w:val="24"/>
        </w:rPr>
        <w:t>设备柜体应能满足工程现场高灰尘、高潮湿、盐雾腐蚀的环境要求。</w:t>
      </w:r>
    </w:p>
    <w:p w14:paraId="3839B3D5">
      <w:pPr>
        <w:pStyle w:val="7"/>
        <w:numPr>
          <w:ilvl w:val="0"/>
          <w:numId w:val="13"/>
        </w:numPr>
        <w:snapToGrid w:val="0"/>
        <w:spacing w:line="360" w:lineRule="auto"/>
        <w:ind w:leftChars="0"/>
        <w:rPr>
          <w:rFonts w:ascii="宋体" w:hAnsi="宋体"/>
          <w:sz w:val="24"/>
        </w:rPr>
      </w:pPr>
      <w:r>
        <w:rPr>
          <w:rFonts w:hint="eastAsia" w:ascii="宋体" w:hAnsi="宋体"/>
          <w:sz w:val="24"/>
        </w:rPr>
        <w:t>冷却方式：自冷</w:t>
      </w:r>
    </w:p>
    <w:p w14:paraId="133481AF">
      <w:pPr>
        <w:pStyle w:val="7"/>
        <w:numPr>
          <w:ilvl w:val="0"/>
          <w:numId w:val="13"/>
        </w:numPr>
        <w:snapToGrid w:val="0"/>
        <w:spacing w:line="360" w:lineRule="auto"/>
        <w:ind w:leftChars="0"/>
        <w:rPr>
          <w:rFonts w:hint="eastAsia" w:ascii="宋体" w:hAnsi="宋体"/>
          <w:sz w:val="24"/>
        </w:rPr>
      </w:pPr>
      <w:r>
        <w:rPr>
          <w:rFonts w:hint="eastAsia" w:ascii="宋体" w:hAnsi="宋体"/>
          <w:sz w:val="24"/>
        </w:rPr>
        <w:t>降容系数：</w:t>
      </w:r>
    </w:p>
    <w:p w14:paraId="1B3193A7">
      <w:pPr>
        <w:pStyle w:val="5"/>
        <w:snapToGrid w:val="0"/>
        <w:spacing w:line="360" w:lineRule="auto"/>
        <w:ind w:firstLineChars="0"/>
        <w:rPr>
          <w:rFonts w:hint="eastAsia"/>
        </w:rPr>
      </w:pPr>
      <w:r>
        <w:rPr>
          <w:rFonts w:hint="eastAsia" w:ascii="宋体" w:hAnsi="宋体"/>
          <w:sz w:val="24"/>
        </w:rPr>
        <w:t>外壳的防护等级为IP33的开关柜，其每个抽出单元的电气元件的额定电流需考虑的热降容系数为</w:t>
      </w:r>
      <w:r>
        <w:rPr>
          <w:rFonts w:ascii="宋体" w:hAnsi="宋体"/>
          <w:sz w:val="24"/>
        </w:rPr>
        <w:t>：</w:t>
      </w:r>
      <w:r>
        <w:rPr>
          <w:rFonts w:hint="eastAsia" w:ascii="宋体" w:hAnsi="宋体"/>
          <w:sz w:val="24"/>
        </w:rPr>
        <w:t>不低于95％。（环境温度40℃）</w:t>
      </w:r>
    </w:p>
    <w:p w14:paraId="0C6B47B0">
      <w:pPr>
        <w:pStyle w:val="5"/>
        <w:numPr>
          <w:ilvl w:val="0"/>
          <w:numId w:val="14"/>
        </w:numPr>
        <w:snapToGrid w:val="0"/>
        <w:spacing w:line="360" w:lineRule="auto"/>
        <w:ind w:firstLineChars="0"/>
        <w:rPr>
          <w:rFonts w:hint="eastAsia" w:ascii="宋体" w:hAnsi="宋体"/>
          <w:sz w:val="24"/>
        </w:rPr>
      </w:pPr>
      <w:r>
        <w:rPr>
          <w:rFonts w:hint="eastAsia" w:ascii="宋体" w:hAnsi="宋体"/>
          <w:sz w:val="24"/>
        </w:rPr>
        <w:t>柜体的外形尺寸：高：</w:t>
      </w:r>
      <w:r>
        <w:rPr>
          <w:rFonts w:ascii="宋体" w:hAnsi="宋体"/>
          <w:sz w:val="24"/>
        </w:rPr>
        <w:t>2200mm</w:t>
      </w:r>
    </w:p>
    <w:p w14:paraId="53305D27">
      <w:pPr>
        <w:pStyle w:val="5"/>
        <w:snapToGrid w:val="0"/>
        <w:spacing w:line="360" w:lineRule="auto"/>
        <w:ind w:left="2100" w:firstLineChars="0"/>
        <w:rPr>
          <w:rFonts w:hint="eastAsia" w:ascii="宋体" w:hAnsi="宋体"/>
          <w:sz w:val="24"/>
        </w:rPr>
      </w:pPr>
      <w:r>
        <w:rPr>
          <w:rFonts w:hint="eastAsia" w:ascii="宋体" w:hAnsi="宋体"/>
          <w:sz w:val="24"/>
        </w:rPr>
        <w:t xml:space="preserve">宽：1000mm、600mm </w:t>
      </w:r>
    </w:p>
    <w:p w14:paraId="52557422">
      <w:pPr>
        <w:pStyle w:val="5"/>
        <w:snapToGrid w:val="0"/>
        <w:spacing w:line="360" w:lineRule="auto"/>
        <w:ind w:left="2100" w:firstLineChars="0"/>
        <w:rPr>
          <w:rFonts w:hint="eastAsia" w:ascii="宋体" w:hAnsi="宋体"/>
          <w:sz w:val="24"/>
        </w:rPr>
      </w:pPr>
      <w:r>
        <w:rPr>
          <w:rFonts w:hint="eastAsia" w:ascii="宋体" w:hAnsi="宋体"/>
          <w:sz w:val="24"/>
        </w:rPr>
        <w:t>深：1000mm</w:t>
      </w:r>
    </w:p>
    <w:p w14:paraId="29771751">
      <w:pPr>
        <w:pStyle w:val="5"/>
        <w:snapToGrid w:val="0"/>
        <w:spacing w:line="360" w:lineRule="auto"/>
        <w:ind w:firstLineChars="0"/>
        <w:rPr>
          <w:rFonts w:hint="eastAsia" w:ascii="宋体" w:hAnsi="宋体"/>
          <w:sz w:val="24"/>
        </w:rPr>
      </w:pPr>
      <w:r>
        <w:rPr>
          <w:rFonts w:hint="eastAsia" w:ascii="宋体" w:hAnsi="宋体"/>
          <w:sz w:val="24"/>
        </w:rPr>
        <w:t>其它要求：开关柜除PE线之外的其它母线（A、B、C、N）应加装冷缩型绝缘护套。</w:t>
      </w:r>
    </w:p>
    <w:p w14:paraId="0B30D412">
      <w:pPr>
        <w:numPr>
          <w:ilvl w:val="0"/>
          <w:numId w:val="0"/>
        </w:numPr>
        <w:adjustRightInd w:val="0"/>
        <w:snapToGrid w:val="0"/>
        <w:spacing w:line="360" w:lineRule="auto"/>
        <w:ind w:leftChars="0"/>
        <w:rPr>
          <w:rFonts w:hint="eastAsia" w:ascii="宋体" w:hAnsi="宋体"/>
          <w:sz w:val="24"/>
        </w:rPr>
      </w:pPr>
      <w:r>
        <w:rPr>
          <w:rFonts w:hint="eastAsia" w:ascii="宋体" w:hAnsi="宋体"/>
          <w:sz w:val="24"/>
          <w:lang w:val="en-US" w:eastAsia="zh-CN"/>
        </w:rPr>
        <w:t>4.2.3.3</w:t>
      </w:r>
      <w:r>
        <w:rPr>
          <w:rFonts w:hint="eastAsia" w:ascii="宋体" w:hAnsi="宋体"/>
          <w:sz w:val="24"/>
        </w:rPr>
        <w:t xml:space="preserve"> 柜内设备选型：</w:t>
      </w:r>
    </w:p>
    <w:p w14:paraId="5EFF080F">
      <w:pPr>
        <w:adjustRightInd w:val="0"/>
        <w:snapToGrid w:val="0"/>
        <w:spacing w:line="360" w:lineRule="auto"/>
        <w:rPr>
          <w:rFonts w:hint="eastAsia" w:ascii="宋体" w:hAnsi="宋体"/>
          <w:sz w:val="24"/>
        </w:rPr>
      </w:pPr>
      <w:r>
        <w:rPr>
          <w:rFonts w:hint="eastAsia" w:ascii="宋体" w:hAnsi="宋体"/>
          <w:sz w:val="24"/>
          <w:lang w:val="en-US" w:eastAsia="zh-CN"/>
        </w:rPr>
        <w:t>4.2.3.3.1</w:t>
      </w:r>
      <w:r>
        <w:rPr>
          <w:rFonts w:hint="eastAsia"/>
          <w:sz w:val="24"/>
        </w:rPr>
        <w:t>智能型框架式空气断路器（抽出式）</w:t>
      </w:r>
    </w:p>
    <w:p w14:paraId="1F96A4FF">
      <w:pPr>
        <w:adjustRightInd w:val="0"/>
        <w:snapToGrid w:val="0"/>
        <w:spacing w:line="360" w:lineRule="auto"/>
        <w:ind w:firstLine="420"/>
        <w:rPr>
          <w:rFonts w:hint="eastAsia" w:ascii="宋体" w:hAnsi="宋体"/>
          <w:sz w:val="24"/>
        </w:rPr>
      </w:pPr>
      <w:r>
        <w:rPr>
          <w:rFonts w:hint="eastAsia"/>
          <w:sz w:val="24"/>
        </w:rPr>
        <w:t>智能型框架空气断路器应采用智能式脱扣器，应具有短路短延时、瞬时、长延时和接地保护等基本功能，可以在现场方便地进行在线定值整定或功能调整；还应具有测量（三相电流，电压，有功功率，有功电度等）、监控、信号、脱扣信息历史记录、数据存贮、自诊断等功能，并能在液晶显示屏上中文显示；配置通讯模块，与厂用电监控系统通信。</w:t>
      </w:r>
    </w:p>
    <w:p w14:paraId="38943DDE">
      <w:pPr>
        <w:numPr>
          <w:ilvl w:val="0"/>
          <w:numId w:val="15"/>
        </w:numPr>
        <w:adjustRightInd w:val="0"/>
        <w:snapToGrid w:val="0"/>
        <w:spacing w:line="360" w:lineRule="auto"/>
        <w:rPr>
          <w:rFonts w:hint="eastAsia" w:ascii="宋体" w:hAnsi="宋体"/>
          <w:sz w:val="24"/>
        </w:rPr>
      </w:pPr>
      <w:r>
        <w:rPr>
          <w:rFonts w:hint="eastAsia" w:ascii="宋体" w:hAnsi="宋体"/>
          <w:sz w:val="24"/>
        </w:rPr>
        <w:t>型式：框架断路器应为智能型,选用</w:t>
      </w:r>
      <w:r>
        <w:rPr>
          <w:rFonts w:hint="eastAsia" w:ascii="宋体" w:hAnsi="宋体"/>
          <w:sz w:val="24"/>
          <w:highlight w:val="none"/>
        </w:rPr>
        <w:t>ABB Emax</w:t>
      </w:r>
      <w:r>
        <w:rPr>
          <w:rFonts w:hint="eastAsia" w:ascii="宋体" w:hAnsi="宋体"/>
          <w:sz w:val="24"/>
          <w:highlight w:val="none"/>
          <w:lang w:val="en-US" w:eastAsia="zh-CN"/>
        </w:rPr>
        <w:t xml:space="preserve">2 EKIP TOUCH LSIG </w:t>
      </w:r>
      <w:r>
        <w:rPr>
          <w:rFonts w:hint="eastAsia" w:ascii="宋体" w:hAnsi="宋体"/>
          <w:sz w:val="24"/>
        </w:rPr>
        <w:t>系列</w:t>
      </w:r>
    </w:p>
    <w:p w14:paraId="785B37DB">
      <w:pPr>
        <w:numPr>
          <w:ilvl w:val="0"/>
          <w:numId w:val="15"/>
        </w:numPr>
        <w:adjustRightInd w:val="0"/>
        <w:snapToGrid w:val="0"/>
        <w:spacing w:line="360" w:lineRule="auto"/>
        <w:rPr>
          <w:rFonts w:hint="eastAsia" w:ascii="宋体" w:hAnsi="宋体"/>
          <w:sz w:val="24"/>
        </w:rPr>
      </w:pPr>
      <w:r>
        <w:rPr>
          <w:rFonts w:hint="eastAsia" w:ascii="宋体" w:hAnsi="宋体"/>
          <w:sz w:val="24"/>
        </w:rPr>
        <w:t>额定电压：</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380V</w:t>
      </w:r>
    </w:p>
    <w:p w14:paraId="1FBABB22">
      <w:pPr>
        <w:numPr>
          <w:ilvl w:val="0"/>
          <w:numId w:val="15"/>
        </w:numPr>
        <w:adjustRightInd w:val="0"/>
        <w:snapToGrid w:val="0"/>
        <w:spacing w:line="360" w:lineRule="auto"/>
        <w:rPr>
          <w:rFonts w:hint="eastAsia" w:ascii="宋体" w:hAnsi="宋体"/>
          <w:sz w:val="24"/>
        </w:rPr>
      </w:pPr>
      <w:r>
        <w:rPr>
          <w:rFonts w:hint="eastAsia" w:ascii="宋体" w:hAnsi="宋体"/>
          <w:sz w:val="24"/>
        </w:rPr>
        <w:t>额定电流：</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63</w:t>
      </w:r>
      <w:r>
        <w:rPr>
          <w:rFonts w:ascii="宋体" w:hAnsi="宋体"/>
          <w:sz w:val="24"/>
        </w:rPr>
        <w:t>0</w:t>
      </w:r>
      <w:r>
        <w:rPr>
          <w:rFonts w:hint="eastAsia" w:ascii="宋体" w:hAnsi="宋体"/>
          <w:sz w:val="24"/>
        </w:rPr>
        <w:t>～6300</w:t>
      </w:r>
      <w:r>
        <w:rPr>
          <w:rFonts w:ascii="宋体" w:hAnsi="宋体"/>
          <w:sz w:val="24"/>
        </w:rPr>
        <w:t>A</w:t>
      </w:r>
    </w:p>
    <w:p w14:paraId="338C3205">
      <w:pPr>
        <w:numPr>
          <w:ilvl w:val="0"/>
          <w:numId w:val="15"/>
        </w:numPr>
        <w:adjustRightInd w:val="0"/>
        <w:snapToGrid w:val="0"/>
        <w:spacing w:line="360" w:lineRule="auto"/>
        <w:rPr>
          <w:rFonts w:hint="eastAsia" w:ascii="宋体" w:hAnsi="宋体"/>
          <w:sz w:val="24"/>
        </w:rPr>
      </w:pPr>
      <w:r>
        <w:rPr>
          <w:rFonts w:hint="eastAsia" w:ascii="宋体" w:hAnsi="宋体"/>
          <w:sz w:val="24"/>
        </w:rPr>
        <w:t>相数：</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3相</w:t>
      </w:r>
    </w:p>
    <w:p w14:paraId="5F0ACA9C">
      <w:pPr>
        <w:numPr>
          <w:ilvl w:val="0"/>
          <w:numId w:val="15"/>
        </w:numPr>
        <w:adjustRightInd w:val="0"/>
        <w:snapToGrid w:val="0"/>
        <w:spacing w:line="360" w:lineRule="auto"/>
        <w:rPr>
          <w:rFonts w:hint="eastAsia" w:ascii="宋体" w:hAnsi="宋体"/>
          <w:sz w:val="24"/>
        </w:rPr>
      </w:pPr>
      <w:r>
        <w:rPr>
          <w:rFonts w:hint="eastAsia" w:ascii="宋体" w:hAnsi="宋体"/>
          <w:sz w:val="24"/>
        </w:rPr>
        <w:t>极数：</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3极</w:t>
      </w:r>
    </w:p>
    <w:p w14:paraId="025C3AB8">
      <w:pPr>
        <w:numPr>
          <w:ilvl w:val="0"/>
          <w:numId w:val="15"/>
        </w:numPr>
        <w:adjustRightInd w:val="0"/>
        <w:snapToGrid w:val="0"/>
        <w:spacing w:line="360" w:lineRule="auto"/>
        <w:rPr>
          <w:rFonts w:hint="eastAsia" w:ascii="宋体" w:hAnsi="宋体"/>
          <w:sz w:val="24"/>
        </w:rPr>
      </w:pPr>
      <w:r>
        <w:rPr>
          <w:rFonts w:hint="eastAsia" w:ascii="宋体" w:hAnsi="宋体"/>
          <w:sz w:val="24"/>
        </w:rPr>
        <w:t>额定频率：</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ascii="宋体" w:hAnsi="宋体"/>
          <w:sz w:val="24"/>
        </w:rPr>
        <w:t>50Hz</w:t>
      </w:r>
    </w:p>
    <w:p w14:paraId="0296653E">
      <w:pPr>
        <w:numPr>
          <w:ilvl w:val="0"/>
          <w:numId w:val="15"/>
        </w:numPr>
        <w:adjustRightInd w:val="0"/>
        <w:snapToGrid w:val="0"/>
        <w:spacing w:line="360" w:lineRule="auto"/>
        <w:rPr>
          <w:rFonts w:hint="eastAsia" w:ascii="宋体" w:hAnsi="宋体"/>
          <w:sz w:val="24"/>
        </w:rPr>
      </w:pPr>
      <w:r>
        <w:rPr>
          <w:rFonts w:hint="eastAsia" w:ascii="宋体" w:hAnsi="宋体"/>
          <w:sz w:val="24"/>
        </w:rPr>
        <w:t>额定开断电流（400V，有效值）：</w:t>
      </w:r>
      <w:r>
        <w:rPr>
          <w:rFonts w:hint="eastAsia" w:ascii="宋体" w:hAnsi="宋体"/>
          <w:sz w:val="24"/>
        </w:rPr>
        <w:tab/>
      </w:r>
      <w:r>
        <w:rPr>
          <w:rFonts w:hint="eastAsia" w:ascii="宋体" w:hAnsi="宋体"/>
          <w:sz w:val="24"/>
        </w:rPr>
        <w:t>≥65</w:t>
      </w:r>
      <w:r>
        <w:rPr>
          <w:rFonts w:ascii="宋体" w:hAnsi="宋体"/>
          <w:sz w:val="24"/>
        </w:rPr>
        <w:t xml:space="preserve"> kA</w:t>
      </w:r>
    </w:p>
    <w:p w14:paraId="42BA91CF">
      <w:pPr>
        <w:numPr>
          <w:ilvl w:val="0"/>
          <w:numId w:val="15"/>
        </w:numPr>
        <w:adjustRightInd w:val="0"/>
        <w:snapToGrid w:val="0"/>
        <w:spacing w:line="360" w:lineRule="auto"/>
        <w:rPr>
          <w:rFonts w:hint="eastAsia" w:ascii="宋体" w:hAnsi="宋体"/>
          <w:sz w:val="24"/>
        </w:rPr>
      </w:pPr>
      <w:r>
        <w:rPr>
          <w:rFonts w:hint="eastAsia" w:ascii="宋体" w:hAnsi="宋体"/>
          <w:sz w:val="24"/>
        </w:rPr>
        <w:t>额定关合电流（400V，峰值）：</w:t>
      </w:r>
      <w:r>
        <w:rPr>
          <w:rFonts w:hint="eastAsia" w:ascii="宋体" w:hAnsi="宋体"/>
          <w:sz w:val="24"/>
        </w:rPr>
        <w:tab/>
      </w:r>
      <w:r>
        <w:rPr>
          <w:rFonts w:hint="eastAsia" w:ascii="宋体" w:hAnsi="宋体"/>
          <w:sz w:val="24"/>
        </w:rPr>
        <w:tab/>
      </w:r>
      <w:r>
        <w:rPr>
          <w:rFonts w:hint="eastAsia" w:ascii="宋体" w:hAnsi="宋体"/>
          <w:sz w:val="24"/>
        </w:rPr>
        <w:t>≥105kA</w:t>
      </w:r>
    </w:p>
    <w:p w14:paraId="34B2FB14">
      <w:pPr>
        <w:numPr>
          <w:ilvl w:val="0"/>
          <w:numId w:val="15"/>
        </w:numPr>
        <w:adjustRightInd w:val="0"/>
        <w:snapToGrid w:val="0"/>
        <w:spacing w:line="360" w:lineRule="auto"/>
        <w:rPr>
          <w:rFonts w:hint="eastAsia" w:ascii="宋体" w:hAnsi="宋体"/>
          <w:sz w:val="24"/>
        </w:rPr>
      </w:pPr>
      <w:r>
        <w:rPr>
          <w:rFonts w:hint="eastAsia" w:ascii="宋体" w:hAnsi="宋体"/>
          <w:sz w:val="24"/>
        </w:rPr>
        <w:t>额定短时耐受电流（1s，有效值）：</w:t>
      </w:r>
      <w:r>
        <w:rPr>
          <w:rFonts w:hint="eastAsia" w:ascii="宋体" w:hAnsi="宋体"/>
          <w:sz w:val="24"/>
        </w:rPr>
        <w:tab/>
      </w:r>
      <w:r>
        <w:rPr>
          <w:rFonts w:hint="eastAsia" w:ascii="宋体" w:hAnsi="宋体"/>
          <w:sz w:val="24"/>
        </w:rPr>
        <w:t>≥50</w:t>
      </w:r>
      <w:r>
        <w:rPr>
          <w:rFonts w:ascii="宋体" w:hAnsi="宋体"/>
          <w:sz w:val="24"/>
        </w:rPr>
        <w:t xml:space="preserve"> kA</w:t>
      </w:r>
    </w:p>
    <w:p w14:paraId="270B5427">
      <w:pPr>
        <w:numPr>
          <w:ilvl w:val="0"/>
          <w:numId w:val="15"/>
        </w:numPr>
        <w:adjustRightInd w:val="0"/>
        <w:snapToGrid w:val="0"/>
        <w:spacing w:line="360" w:lineRule="auto"/>
        <w:rPr>
          <w:rFonts w:hint="eastAsia" w:ascii="宋体" w:hAnsi="宋体"/>
          <w:sz w:val="24"/>
        </w:rPr>
      </w:pPr>
      <w:r>
        <w:rPr>
          <w:rFonts w:hint="eastAsia" w:ascii="宋体" w:hAnsi="宋体"/>
          <w:sz w:val="24"/>
        </w:rPr>
        <w:t>额定短时动稳定电流（峰值）：</w:t>
      </w:r>
      <w:r>
        <w:rPr>
          <w:rFonts w:hint="eastAsia" w:ascii="宋体" w:hAnsi="宋体"/>
          <w:sz w:val="24"/>
        </w:rPr>
        <w:tab/>
      </w:r>
      <w:r>
        <w:rPr>
          <w:rFonts w:hint="eastAsia" w:ascii="宋体" w:hAnsi="宋体"/>
          <w:sz w:val="24"/>
        </w:rPr>
        <w:tab/>
      </w:r>
      <w:r>
        <w:rPr>
          <w:rFonts w:hint="eastAsia" w:ascii="宋体" w:hAnsi="宋体"/>
          <w:sz w:val="24"/>
        </w:rPr>
        <w:t>≥105kA</w:t>
      </w:r>
    </w:p>
    <w:p w14:paraId="7A90964D">
      <w:pPr>
        <w:numPr>
          <w:ilvl w:val="0"/>
          <w:numId w:val="15"/>
        </w:numPr>
        <w:adjustRightInd w:val="0"/>
        <w:snapToGrid w:val="0"/>
        <w:spacing w:line="360" w:lineRule="auto"/>
        <w:rPr>
          <w:rFonts w:hint="eastAsia" w:ascii="宋体" w:hAnsi="宋体"/>
          <w:sz w:val="24"/>
        </w:rPr>
      </w:pPr>
      <w:r>
        <w:rPr>
          <w:rFonts w:ascii="宋体" w:hAnsi="宋体"/>
          <w:sz w:val="24"/>
        </w:rPr>
        <w:t>1</w:t>
      </w:r>
      <w:r>
        <w:rPr>
          <w:rFonts w:hint="eastAsia" w:ascii="宋体" w:hAnsi="宋体"/>
          <w:sz w:val="24"/>
        </w:rPr>
        <w:t>分钟工频耐受电压</w:t>
      </w:r>
      <w:r>
        <w:rPr>
          <w:rFonts w:ascii="宋体" w:hAnsi="宋体"/>
          <w:sz w:val="24"/>
        </w:rPr>
        <w:t>(</w:t>
      </w:r>
      <w:r>
        <w:rPr>
          <w:rFonts w:hint="eastAsia" w:ascii="宋体" w:hAnsi="宋体"/>
          <w:sz w:val="24"/>
        </w:rPr>
        <w:t>有效值</w:t>
      </w:r>
      <w:r>
        <w:rPr>
          <w:rFonts w:ascii="宋体" w:hAnsi="宋体"/>
          <w:sz w:val="24"/>
        </w:rPr>
        <w:t>)</w:t>
      </w:r>
      <w:r>
        <w:rPr>
          <w:rFonts w:hint="eastAsia" w:ascii="宋体" w:hAnsi="宋体"/>
          <w:sz w:val="24"/>
        </w:rPr>
        <w:t>：</w:t>
      </w:r>
      <w:r>
        <w:rPr>
          <w:rFonts w:hint="eastAsia" w:ascii="宋体" w:hAnsi="宋体"/>
          <w:sz w:val="24"/>
        </w:rPr>
        <w:tab/>
      </w:r>
      <w:r>
        <w:rPr>
          <w:rFonts w:hint="eastAsia" w:ascii="宋体" w:hAnsi="宋体"/>
          <w:sz w:val="24"/>
        </w:rPr>
        <w:tab/>
      </w:r>
      <w:r>
        <w:rPr>
          <w:rFonts w:hint="eastAsia" w:ascii="宋体" w:hAnsi="宋体"/>
          <w:sz w:val="24"/>
        </w:rPr>
        <w:t>2.5</w:t>
      </w:r>
      <w:r>
        <w:rPr>
          <w:rFonts w:ascii="宋体" w:hAnsi="宋体"/>
          <w:sz w:val="24"/>
        </w:rPr>
        <w:t>kV</w:t>
      </w:r>
    </w:p>
    <w:p w14:paraId="0F3FF5E4">
      <w:pPr>
        <w:numPr>
          <w:ilvl w:val="0"/>
          <w:numId w:val="15"/>
        </w:numPr>
        <w:adjustRightInd w:val="0"/>
        <w:snapToGrid w:val="0"/>
        <w:spacing w:line="360" w:lineRule="auto"/>
        <w:rPr>
          <w:rFonts w:hint="eastAsia" w:ascii="宋体" w:hAnsi="宋体"/>
          <w:sz w:val="24"/>
        </w:rPr>
      </w:pPr>
      <w:r>
        <w:rPr>
          <w:rFonts w:hint="eastAsia" w:ascii="宋体" w:hAnsi="宋体"/>
          <w:sz w:val="24"/>
        </w:rPr>
        <w:t>操作机构形式：</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电动</w:t>
      </w:r>
    </w:p>
    <w:p w14:paraId="663A6740">
      <w:pPr>
        <w:numPr>
          <w:ilvl w:val="0"/>
          <w:numId w:val="15"/>
        </w:numPr>
        <w:snapToGrid w:val="0"/>
        <w:spacing w:line="360" w:lineRule="auto"/>
        <w:rPr>
          <w:rFonts w:hint="eastAsia" w:ascii="宋体" w:hAnsi="宋体"/>
          <w:sz w:val="24"/>
        </w:rPr>
      </w:pPr>
      <w:r>
        <w:rPr>
          <w:rFonts w:hint="eastAsia" w:ascii="宋体" w:hAnsi="宋体"/>
          <w:sz w:val="24"/>
        </w:rPr>
        <w:t>断路器控制电源：</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ascii="宋体" w:hAnsi="宋体"/>
          <w:sz w:val="24"/>
        </w:rPr>
        <w:t>DC</w:t>
      </w:r>
      <w:r>
        <w:rPr>
          <w:rFonts w:hint="eastAsia" w:ascii="宋体" w:hAnsi="宋体"/>
          <w:sz w:val="24"/>
        </w:rPr>
        <w:t>22</w:t>
      </w:r>
      <w:r>
        <w:rPr>
          <w:rFonts w:ascii="宋体" w:hAnsi="宋体"/>
          <w:sz w:val="24"/>
        </w:rPr>
        <w:t>0V</w:t>
      </w:r>
      <w:r>
        <w:rPr>
          <w:rFonts w:hint="eastAsia" w:ascii="宋体" w:hAnsi="宋体"/>
          <w:sz w:val="24"/>
        </w:rPr>
        <w:t>或AC220V</w:t>
      </w:r>
    </w:p>
    <w:p w14:paraId="1BD7DCFD">
      <w:pPr>
        <w:numPr>
          <w:ilvl w:val="0"/>
          <w:numId w:val="15"/>
        </w:numPr>
        <w:adjustRightInd w:val="0"/>
        <w:snapToGrid w:val="0"/>
        <w:spacing w:line="360" w:lineRule="auto"/>
        <w:rPr>
          <w:rFonts w:hint="eastAsia" w:ascii="宋体" w:hAnsi="宋体"/>
          <w:sz w:val="24"/>
        </w:rPr>
      </w:pPr>
      <w:r>
        <w:rPr>
          <w:rFonts w:hint="eastAsia" w:ascii="宋体" w:hAnsi="宋体"/>
          <w:sz w:val="24"/>
        </w:rPr>
        <w:t>断路器操作电源：</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DC22</w:t>
      </w:r>
      <w:r>
        <w:rPr>
          <w:rFonts w:ascii="宋体" w:hAnsi="宋体"/>
          <w:sz w:val="24"/>
        </w:rPr>
        <w:t>0V</w:t>
      </w:r>
      <w:r>
        <w:rPr>
          <w:rFonts w:hint="eastAsia" w:ascii="宋体" w:hAnsi="宋体"/>
          <w:sz w:val="24"/>
        </w:rPr>
        <w:t>或AC220V</w:t>
      </w:r>
    </w:p>
    <w:p w14:paraId="4C7AF6FE">
      <w:pPr>
        <w:numPr>
          <w:ilvl w:val="0"/>
          <w:numId w:val="15"/>
        </w:numPr>
        <w:snapToGrid w:val="0"/>
        <w:spacing w:line="360" w:lineRule="auto"/>
        <w:rPr>
          <w:rFonts w:hint="eastAsia"/>
          <w:sz w:val="24"/>
        </w:rPr>
      </w:pPr>
      <w:r>
        <w:rPr>
          <w:rFonts w:hint="eastAsia"/>
          <w:sz w:val="24"/>
        </w:rPr>
        <w:t>断路器的机械寿命不小于</w:t>
      </w:r>
      <w:r>
        <w:rPr>
          <w:sz w:val="24"/>
        </w:rPr>
        <w:t>10000</w:t>
      </w:r>
      <w:r>
        <w:rPr>
          <w:rFonts w:hint="eastAsia"/>
          <w:sz w:val="24"/>
        </w:rPr>
        <w:t>次</w:t>
      </w:r>
    </w:p>
    <w:p w14:paraId="0826CF37">
      <w:pPr>
        <w:snapToGrid w:val="0"/>
        <w:spacing w:line="360" w:lineRule="auto"/>
        <w:ind w:firstLine="480" w:firstLineChars="200"/>
        <w:rPr>
          <w:rFonts w:hint="eastAsia" w:ascii="宋体" w:hAnsi="宋体"/>
          <w:sz w:val="24"/>
        </w:rPr>
      </w:pPr>
      <w:r>
        <w:rPr>
          <w:rFonts w:hint="eastAsia"/>
          <w:sz w:val="24"/>
        </w:rPr>
        <w:t>框架断路器具有瞬时、短延时、长延时和接地保护等功能，可以在现场方便地进行定值整定或功能调整。</w:t>
      </w:r>
    </w:p>
    <w:p w14:paraId="0153A434">
      <w:pPr>
        <w:adjustRightInd w:val="0"/>
        <w:snapToGrid w:val="0"/>
        <w:spacing w:line="360" w:lineRule="auto"/>
        <w:ind w:firstLine="444" w:firstLineChars="185"/>
        <w:rPr>
          <w:rFonts w:hint="eastAsia" w:ascii="宋体" w:hAnsi="宋体"/>
          <w:sz w:val="24"/>
        </w:rPr>
      </w:pPr>
      <w:r>
        <w:rPr>
          <w:rFonts w:hint="eastAsia" w:ascii="宋体" w:hAnsi="宋体"/>
          <w:sz w:val="24"/>
        </w:rPr>
        <w:t>断路器应免维护，反向配电回路不降容，全系列控制单元可现场互换。控制单元应带液晶</w:t>
      </w:r>
      <w:r>
        <w:rPr>
          <w:rFonts w:hint="eastAsia" w:ascii="宋体" w:hAnsi="宋体"/>
          <w:sz w:val="24"/>
          <w:lang w:val="en-US" w:eastAsia="zh-CN"/>
        </w:rPr>
        <w:t>屏</w:t>
      </w:r>
      <w:r>
        <w:rPr>
          <w:rFonts w:hint="eastAsia" w:ascii="宋体" w:hAnsi="宋体"/>
          <w:sz w:val="24"/>
        </w:rPr>
        <w:t>显示功能。</w:t>
      </w:r>
    </w:p>
    <w:p w14:paraId="4F9F5329">
      <w:pPr>
        <w:adjustRightInd w:val="0"/>
        <w:snapToGrid w:val="0"/>
        <w:spacing w:line="360" w:lineRule="auto"/>
        <w:ind w:firstLine="444" w:firstLineChars="185"/>
        <w:rPr>
          <w:rFonts w:hint="eastAsia" w:ascii="宋体" w:hAnsi="宋体"/>
          <w:sz w:val="24"/>
        </w:rPr>
      </w:pPr>
      <w:r>
        <w:rPr>
          <w:rFonts w:hint="eastAsia" w:ascii="宋体" w:hAnsi="宋体"/>
          <w:sz w:val="24"/>
        </w:rPr>
        <w:t>投标方提供能检验框架断路器控制单元与塑壳断路器电子脱扣器的功能和保护定值的校验装置。</w:t>
      </w:r>
    </w:p>
    <w:p w14:paraId="53CE5D15">
      <w:pPr>
        <w:adjustRightInd w:val="0"/>
        <w:snapToGrid w:val="0"/>
        <w:spacing w:line="360" w:lineRule="auto"/>
        <w:ind w:firstLine="480" w:firstLineChars="200"/>
        <w:rPr>
          <w:rFonts w:hint="eastAsia" w:ascii="宋体" w:hAnsi="宋体"/>
          <w:sz w:val="24"/>
        </w:rPr>
      </w:pPr>
      <w:r>
        <w:rPr>
          <w:rFonts w:hint="eastAsia" w:ascii="宋体" w:hAnsi="宋体"/>
          <w:sz w:val="24"/>
        </w:rPr>
        <w:t>为了检修，维护的安全，避免误操作，要求框架断路器有二个钥匙锁定OFF位置。</w:t>
      </w:r>
    </w:p>
    <w:p w14:paraId="457FE35B">
      <w:pPr>
        <w:adjustRightInd w:val="0"/>
        <w:snapToGrid w:val="0"/>
        <w:spacing w:line="360" w:lineRule="auto"/>
        <w:ind w:firstLine="480" w:firstLineChars="200"/>
        <w:rPr>
          <w:rFonts w:hint="eastAsia" w:ascii="宋体" w:hAnsi="宋体"/>
          <w:sz w:val="24"/>
        </w:rPr>
      </w:pPr>
      <w:r>
        <w:rPr>
          <w:rFonts w:hint="eastAsia" w:ascii="宋体" w:hAnsi="宋体"/>
          <w:sz w:val="24"/>
        </w:rPr>
        <w:t>为了保证低压与中压的选择性，要求框架断路器长延时曲线斜率可调。</w:t>
      </w:r>
    </w:p>
    <w:p w14:paraId="305EF6A3">
      <w:pPr>
        <w:pStyle w:val="7"/>
        <w:adjustRightInd w:val="0"/>
        <w:snapToGrid w:val="0"/>
        <w:spacing w:line="360" w:lineRule="auto"/>
        <w:ind w:left="0" w:leftChars="0" w:firstLine="480" w:firstLineChars="200"/>
        <w:rPr>
          <w:rFonts w:hint="eastAsia" w:ascii="宋体" w:hAnsi="宋体"/>
          <w:sz w:val="24"/>
        </w:rPr>
      </w:pPr>
      <w:r>
        <w:rPr>
          <w:rFonts w:hint="eastAsia" w:ascii="宋体" w:hAnsi="宋体"/>
          <w:sz w:val="24"/>
        </w:rPr>
        <w:t>为了确保安全性，要求框架断路器实现零飞弧。</w:t>
      </w:r>
    </w:p>
    <w:p w14:paraId="27F5406C">
      <w:pPr>
        <w:adjustRightInd w:val="0"/>
        <w:snapToGrid w:val="0"/>
        <w:spacing w:line="360" w:lineRule="auto"/>
        <w:ind w:firstLine="480" w:firstLineChars="200"/>
        <w:rPr>
          <w:rFonts w:hint="eastAsia" w:ascii="宋体" w:hAnsi="宋体"/>
          <w:sz w:val="24"/>
        </w:rPr>
      </w:pPr>
      <w:r>
        <w:rPr>
          <w:rFonts w:hint="eastAsia" w:ascii="宋体" w:hAnsi="宋体"/>
          <w:sz w:val="24"/>
        </w:rPr>
        <w:t>除断路器控制回路自身使用的接点外，每台断路器还应提供不少于六常开六常闭的辅助接点及断路器工作位置和试验位置各三付接点供外部使用，并有弹簧未储能、准备就绪及故障报警等信号输出。</w:t>
      </w:r>
    </w:p>
    <w:p w14:paraId="14444C79">
      <w:pPr>
        <w:adjustRightInd w:val="0"/>
        <w:snapToGrid w:val="0"/>
        <w:spacing w:line="360" w:lineRule="auto"/>
        <w:ind w:firstLine="480" w:firstLineChars="200"/>
        <w:rPr>
          <w:rFonts w:hint="eastAsia" w:ascii="宋体" w:hAnsi="宋体"/>
          <w:sz w:val="24"/>
        </w:rPr>
      </w:pPr>
      <w:r>
        <w:rPr>
          <w:rFonts w:hint="eastAsia" w:ascii="宋体" w:hAnsi="宋体"/>
          <w:sz w:val="24"/>
        </w:rPr>
        <w:t>为了提高备品备件利用率，降低备品备件库存，要求框架式断路器的附件（辅助开关，分励线圈，失压线圈等）全系列通用。</w:t>
      </w:r>
    </w:p>
    <w:p w14:paraId="64083962">
      <w:pPr>
        <w:adjustRightInd w:val="0"/>
        <w:snapToGrid w:val="0"/>
        <w:spacing w:line="360" w:lineRule="auto"/>
        <w:rPr>
          <w:rFonts w:hint="eastAsia"/>
          <w:sz w:val="24"/>
        </w:rPr>
      </w:pPr>
      <w:r>
        <w:rPr>
          <w:rFonts w:hint="eastAsia" w:ascii="宋体" w:hAnsi="宋体"/>
          <w:sz w:val="24"/>
          <w:lang w:val="en-US" w:eastAsia="zh-CN"/>
        </w:rPr>
        <w:t>4.2.3.3.2</w:t>
      </w:r>
      <w:r>
        <w:rPr>
          <w:rFonts w:hint="eastAsia" w:ascii="宋体" w:hAnsi="宋体"/>
          <w:sz w:val="24"/>
        </w:rPr>
        <w:t xml:space="preserve"> </w:t>
      </w:r>
      <w:r>
        <w:rPr>
          <w:rFonts w:hint="eastAsia"/>
          <w:sz w:val="24"/>
        </w:rPr>
        <w:t>塑壳式断路器</w:t>
      </w:r>
    </w:p>
    <w:p w14:paraId="306C2176">
      <w:pPr>
        <w:adjustRightInd w:val="0"/>
        <w:snapToGrid w:val="0"/>
        <w:spacing w:line="360" w:lineRule="auto"/>
        <w:ind w:firstLine="420"/>
        <w:rPr>
          <w:rFonts w:hint="eastAsia"/>
          <w:sz w:val="24"/>
        </w:rPr>
      </w:pPr>
      <w:r>
        <w:rPr>
          <w:rFonts w:hint="eastAsia"/>
          <w:sz w:val="24"/>
        </w:rPr>
        <w:t>塑壳断路器应具有瞬时、长延时等基本功能，可以在现场方便地进行定值整定或功能调整。</w:t>
      </w:r>
    </w:p>
    <w:p w14:paraId="44EBF473">
      <w:pPr>
        <w:numPr>
          <w:ilvl w:val="0"/>
          <w:numId w:val="15"/>
        </w:numPr>
        <w:adjustRightInd w:val="0"/>
        <w:snapToGrid w:val="0"/>
        <w:spacing w:line="360" w:lineRule="auto"/>
        <w:rPr>
          <w:rFonts w:hint="eastAsia" w:ascii="宋体" w:hAnsi="宋体"/>
          <w:sz w:val="24"/>
        </w:rPr>
      </w:pPr>
      <w:r>
        <w:rPr>
          <w:rFonts w:hint="eastAsia" w:ascii="宋体" w:hAnsi="宋体"/>
          <w:sz w:val="24"/>
        </w:rPr>
        <w:t>型式：塑壳断路器选用</w:t>
      </w:r>
      <w:r>
        <w:rPr>
          <w:rFonts w:hint="eastAsia" w:ascii="宋体" w:hAnsi="宋体"/>
          <w:sz w:val="24"/>
          <w:highlight w:val="none"/>
        </w:rPr>
        <w:t>ABB Tmax</w:t>
      </w:r>
      <w:r>
        <w:rPr>
          <w:rFonts w:hint="eastAsia" w:ascii="宋体" w:hAnsi="宋体"/>
          <w:sz w:val="24"/>
        </w:rPr>
        <w:t>系列、</w:t>
      </w:r>
    </w:p>
    <w:p w14:paraId="24EABF0A">
      <w:pPr>
        <w:numPr>
          <w:ilvl w:val="0"/>
          <w:numId w:val="15"/>
        </w:numPr>
        <w:adjustRightInd w:val="0"/>
        <w:snapToGrid w:val="0"/>
        <w:spacing w:line="360" w:lineRule="auto"/>
        <w:rPr>
          <w:rFonts w:hint="eastAsia" w:ascii="宋体" w:hAnsi="宋体"/>
          <w:sz w:val="24"/>
        </w:rPr>
      </w:pPr>
      <w:r>
        <w:rPr>
          <w:rFonts w:hint="eastAsia" w:ascii="宋体" w:hAnsi="宋体"/>
          <w:sz w:val="24"/>
        </w:rPr>
        <w:t>额定电压：</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380V</w:t>
      </w:r>
    </w:p>
    <w:p w14:paraId="410D1CFD">
      <w:pPr>
        <w:numPr>
          <w:ilvl w:val="0"/>
          <w:numId w:val="15"/>
        </w:numPr>
        <w:adjustRightInd w:val="0"/>
        <w:snapToGrid w:val="0"/>
        <w:spacing w:line="360" w:lineRule="auto"/>
        <w:rPr>
          <w:rFonts w:hint="eastAsia" w:ascii="宋体" w:hAnsi="宋体"/>
          <w:sz w:val="24"/>
        </w:rPr>
      </w:pPr>
      <w:r>
        <w:rPr>
          <w:rFonts w:hint="eastAsia" w:ascii="宋体" w:hAnsi="宋体"/>
          <w:sz w:val="24"/>
        </w:rPr>
        <w:t>额定电流：</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10～800</w:t>
      </w:r>
      <w:r>
        <w:rPr>
          <w:rFonts w:ascii="宋体" w:hAnsi="宋体"/>
          <w:sz w:val="24"/>
        </w:rPr>
        <w:t>A</w:t>
      </w:r>
    </w:p>
    <w:p w14:paraId="31BBFEC0">
      <w:pPr>
        <w:numPr>
          <w:ilvl w:val="0"/>
          <w:numId w:val="15"/>
        </w:numPr>
        <w:adjustRightInd w:val="0"/>
        <w:snapToGrid w:val="0"/>
        <w:spacing w:line="360" w:lineRule="auto"/>
        <w:rPr>
          <w:rFonts w:hint="eastAsia" w:ascii="宋体" w:hAnsi="宋体"/>
          <w:sz w:val="24"/>
        </w:rPr>
      </w:pPr>
      <w:r>
        <w:rPr>
          <w:rFonts w:hint="eastAsia" w:ascii="宋体" w:hAnsi="宋体"/>
          <w:sz w:val="24"/>
        </w:rPr>
        <w:t>相数：</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3相</w:t>
      </w:r>
    </w:p>
    <w:p w14:paraId="5CFD7569">
      <w:pPr>
        <w:numPr>
          <w:ilvl w:val="0"/>
          <w:numId w:val="15"/>
        </w:numPr>
        <w:adjustRightInd w:val="0"/>
        <w:snapToGrid w:val="0"/>
        <w:spacing w:line="360" w:lineRule="auto"/>
        <w:rPr>
          <w:rFonts w:hint="eastAsia" w:ascii="宋体" w:hAnsi="宋体"/>
          <w:sz w:val="24"/>
        </w:rPr>
      </w:pPr>
      <w:r>
        <w:rPr>
          <w:rFonts w:hint="eastAsia" w:ascii="宋体" w:hAnsi="宋体"/>
          <w:sz w:val="24"/>
        </w:rPr>
        <w:t>极数：</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3极</w:t>
      </w:r>
    </w:p>
    <w:p w14:paraId="5E094ECA">
      <w:pPr>
        <w:numPr>
          <w:ilvl w:val="0"/>
          <w:numId w:val="15"/>
        </w:numPr>
        <w:adjustRightInd w:val="0"/>
        <w:snapToGrid w:val="0"/>
        <w:spacing w:line="360" w:lineRule="auto"/>
        <w:rPr>
          <w:rFonts w:hint="eastAsia" w:ascii="宋体" w:hAnsi="宋体"/>
          <w:sz w:val="24"/>
        </w:rPr>
      </w:pPr>
      <w:r>
        <w:rPr>
          <w:rFonts w:hint="eastAsia" w:ascii="宋体" w:hAnsi="宋体"/>
          <w:sz w:val="24"/>
        </w:rPr>
        <w:t>额定频率：</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ascii="宋体" w:hAnsi="宋体"/>
          <w:sz w:val="24"/>
        </w:rPr>
        <w:t>50Hz</w:t>
      </w:r>
    </w:p>
    <w:p w14:paraId="44814241">
      <w:pPr>
        <w:numPr>
          <w:ilvl w:val="0"/>
          <w:numId w:val="15"/>
        </w:numPr>
        <w:adjustRightInd w:val="0"/>
        <w:snapToGrid w:val="0"/>
        <w:spacing w:line="360" w:lineRule="auto"/>
        <w:rPr>
          <w:rFonts w:hint="eastAsia" w:ascii="宋体" w:hAnsi="宋体"/>
          <w:sz w:val="24"/>
        </w:rPr>
      </w:pPr>
      <w:r>
        <w:rPr>
          <w:rFonts w:hint="eastAsia" w:ascii="宋体" w:hAnsi="宋体"/>
          <w:sz w:val="24"/>
        </w:rPr>
        <w:t>额定开断电流（400V，有效值）：</w:t>
      </w:r>
      <w:r>
        <w:rPr>
          <w:rFonts w:hint="eastAsia" w:ascii="宋体" w:hAnsi="宋体"/>
          <w:sz w:val="24"/>
        </w:rPr>
        <w:tab/>
      </w:r>
      <w:r>
        <w:rPr>
          <w:rFonts w:hint="eastAsia" w:ascii="宋体" w:hAnsi="宋体"/>
          <w:sz w:val="24"/>
        </w:rPr>
        <w:t>≥50</w:t>
      </w:r>
      <w:r>
        <w:rPr>
          <w:rFonts w:ascii="宋体" w:hAnsi="宋体"/>
          <w:sz w:val="24"/>
        </w:rPr>
        <w:t>kA</w:t>
      </w:r>
    </w:p>
    <w:p w14:paraId="34799B7D">
      <w:pPr>
        <w:numPr>
          <w:ilvl w:val="0"/>
          <w:numId w:val="15"/>
        </w:numPr>
        <w:adjustRightInd w:val="0"/>
        <w:snapToGrid w:val="0"/>
        <w:spacing w:line="360" w:lineRule="auto"/>
        <w:rPr>
          <w:rFonts w:hint="eastAsia" w:ascii="宋体" w:hAnsi="宋体"/>
          <w:sz w:val="24"/>
        </w:rPr>
      </w:pPr>
      <w:r>
        <w:rPr>
          <w:rFonts w:hint="eastAsia" w:ascii="宋体" w:hAnsi="宋体"/>
          <w:sz w:val="24"/>
        </w:rPr>
        <w:t>极限开断电流不小于额定开断电流</w:t>
      </w:r>
    </w:p>
    <w:p w14:paraId="6430F5BE">
      <w:pPr>
        <w:numPr>
          <w:ilvl w:val="0"/>
          <w:numId w:val="15"/>
        </w:numPr>
        <w:adjustRightInd w:val="0"/>
        <w:snapToGrid w:val="0"/>
        <w:spacing w:line="360" w:lineRule="auto"/>
        <w:rPr>
          <w:rFonts w:hint="eastAsia" w:ascii="宋体" w:hAnsi="宋体"/>
          <w:sz w:val="24"/>
        </w:rPr>
      </w:pPr>
      <w:r>
        <w:rPr>
          <w:rFonts w:ascii="宋体" w:hAnsi="宋体"/>
          <w:sz w:val="24"/>
        </w:rPr>
        <w:t>1</w:t>
      </w:r>
      <w:r>
        <w:rPr>
          <w:rFonts w:hint="eastAsia" w:ascii="宋体" w:hAnsi="宋体"/>
          <w:sz w:val="24"/>
        </w:rPr>
        <w:t>分钟工频耐受电压</w:t>
      </w:r>
      <w:r>
        <w:rPr>
          <w:rFonts w:ascii="宋体" w:hAnsi="宋体"/>
          <w:sz w:val="24"/>
        </w:rPr>
        <w:t>(</w:t>
      </w:r>
      <w:r>
        <w:rPr>
          <w:rFonts w:hint="eastAsia" w:ascii="宋体" w:hAnsi="宋体"/>
          <w:sz w:val="24"/>
        </w:rPr>
        <w:t>有效值</w:t>
      </w:r>
      <w:r>
        <w:rPr>
          <w:rFonts w:ascii="宋体" w:hAnsi="宋体"/>
          <w:sz w:val="24"/>
        </w:rPr>
        <w:t>)</w:t>
      </w:r>
      <w:r>
        <w:rPr>
          <w:rFonts w:hint="eastAsia" w:ascii="宋体" w:hAnsi="宋体"/>
          <w:sz w:val="24"/>
        </w:rPr>
        <w:t>：</w:t>
      </w:r>
      <w:r>
        <w:rPr>
          <w:rFonts w:hint="eastAsia" w:ascii="宋体" w:hAnsi="宋体"/>
          <w:sz w:val="24"/>
        </w:rPr>
        <w:tab/>
      </w:r>
      <w:r>
        <w:rPr>
          <w:rFonts w:hint="eastAsia" w:ascii="宋体" w:hAnsi="宋体"/>
          <w:sz w:val="24"/>
        </w:rPr>
        <w:tab/>
      </w:r>
      <w:r>
        <w:rPr>
          <w:rFonts w:hint="eastAsia" w:ascii="宋体" w:hAnsi="宋体"/>
          <w:sz w:val="24"/>
        </w:rPr>
        <w:t>2.5</w:t>
      </w:r>
      <w:r>
        <w:rPr>
          <w:rFonts w:ascii="宋体" w:hAnsi="宋体"/>
          <w:sz w:val="24"/>
        </w:rPr>
        <w:t>kV</w:t>
      </w:r>
    </w:p>
    <w:p w14:paraId="1E0D3973">
      <w:pPr>
        <w:numPr>
          <w:ilvl w:val="0"/>
          <w:numId w:val="15"/>
        </w:numPr>
        <w:snapToGrid w:val="0"/>
        <w:spacing w:line="360" w:lineRule="auto"/>
        <w:rPr>
          <w:rFonts w:hint="eastAsia" w:ascii="宋体" w:hAnsi="宋体"/>
          <w:sz w:val="24"/>
        </w:rPr>
      </w:pPr>
      <w:r>
        <w:rPr>
          <w:rFonts w:hint="eastAsia" w:ascii="宋体" w:hAnsi="宋体"/>
          <w:sz w:val="24"/>
        </w:rPr>
        <w:t>断路器控制电源：</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ascii="宋体" w:hAnsi="宋体"/>
          <w:sz w:val="24"/>
        </w:rPr>
        <w:t>DC</w:t>
      </w:r>
      <w:r>
        <w:rPr>
          <w:rFonts w:hint="eastAsia" w:ascii="宋体" w:hAnsi="宋体"/>
          <w:sz w:val="24"/>
        </w:rPr>
        <w:t>22</w:t>
      </w:r>
      <w:r>
        <w:rPr>
          <w:rFonts w:ascii="宋体" w:hAnsi="宋体"/>
          <w:sz w:val="24"/>
        </w:rPr>
        <w:t>0V</w:t>
      </w:r>
      <w:r>
        <w:rPr>
          <w:rFonts w:hint="eastAsia" w:ascii="宋体" w:hAnsi="宋体"/>
          <w:sz w:val="24"/>
        </w:rPr>
        <w:t>或AC220V</w:t>
      </w:r>
    </w:p>
    <w:p w14:paraId="2199D429">
      <w:pPr>
        <w:adjustRightInd w:val="0"/>
        <w:snapToGrid w:val="0"/>
        <w:spacing w:line="360" w:lineRule="auto"/>
        <w:ind w:firstLine="420"/>
        <w:rPr>
          <w:rFonts w:hint="eastAsia" w:ascii="宋体" w:hAnsi="宋体"/>
          <w:sz w:val="24"/>
        </w:rPr>
      </w:pPr>
      <w:r>
        <w:rPr>
          <w:rFonts w:hint="eastAsia" w:ascii="宋体" w:hAnsi="宋体"/>
          <w:sz w:val="24"/>
        </w:rPr>
        <w:t>要求塑壳断路器使用分断能力Ics为不低于75%的极限分断能力Icu。</w:t>
      </w:r>
    </w:p>
    <w:p w14:paraId="412C5295">
      <w:pPr>
        <w:adjustRightInd w:val="0"/>
        <w:snapToGrid w:val="0"/>
        <w:spacing w:line="360" w:lineRule="auto"/>
        <w:ind w:firstLine="420"/>
        <w:rPr>
          <w:rFonts w:hint="eastAsia" w:ascii="宋体" w:hAnsi="宋体"/>
          <w:sz w:val="24"/>
        </w:rPr>
      </w:pPr>
      <w:r>
        <w:rPr>
          <w:rFonts w:hint="eastAsia" w:ascii="宋体" w:hAnsi="宋体"/>
          <w:sz w:val="24"/>
        </w:rPr>
        <w:t>塑壳断路器应可配有分励脱扣器以方便远方跳闸，具体以设计单位招标图为准。</w:t>
      </w:r>
    </w:p>
    <w:p w14:paraId="1B9EFD5E">
      <w:pPr>
        <w:adjustRightInd w:val="0"/>
        <w:snapToGrid w:val="0"/>
        <w:spacing w:line="360" w:lineRule="auto"/>
        <w:ind w:firstLine="480" w:firstLineChars="200"/>
        <w:rPr>
          <w:rFonts w:ascii="宋体" w:hAnsi="宋体"/>
          <w:sz w:val="24"/>
        </w:rPr>
      </w:pPr>
      <w:r>
        <w:rPr>
          <w:rFonts w:hint="eastAsia" w:ascii="宋体" w:hAnsi="宋体"/>
          <w:sz w:val="24"/>
        </w:rPr>
        <w:t>要求塑壳式断路器二次回路与一次回路完全隔离，附件可在现场安装。要求水平安装的塑壳断路器不降容；反向配电回路亦不能降容。</w:t>
      </w:r>
    </w:p>
    <w:p w14:paraId="439F1FF2">
      <w:pPr>
        <w:adjustRightInd w:val="0"/>
        <w:snapToGrid w:val="0"/>
        <w:spacing w:line="360" w:lineRule="auto"/>
        <w:ind w:firstLine="480" w:firstLineChars="200"/>
        <w:rPr>
          <w:rFonts w:hint="eastAsia" w:ascii="宋体" w:hAnsi="宋体"/>
          <w:sz w:val="24"/>
        </w:rPr>
      </w:pPr>
      <w:r>
        <w:rPr>
          <w:rFonts w:hint="eastAsia" w:ascii="宋体" w:hAnsi="宋体"/>
          <w:sz w:val="24"/>
        </w:rPr>
        <w:t>塑壳断路器应具有可靠的隔离功能</w:t>
      </w:r>
      <w:r>
        <w:rPr>
          <w:rFonts w:ascii="宋体" w:hAnsi="宋体"/>
          <w:sz w:val="24"/>
        </w:rPr>
        <w:t>，</w:t>
      </w:r>
      <w:r>
        <w:rPr>
          <w:rFonts w:hint="eastAsia" w:ascii="宋体" w:hAnsi="宋体"/>
          <w:sz w:val="24"/>
        </w:rPr>
        <w:t>保证触头指示系统的机械可靠性符合IEC 60947-3标准。</w:t>
      </w:r>
    </w:p>
    <w:p w14:paraId="6A0B2357">
      <w:pPr>
        <w:adjustRightInd w:val="0"/>
        <w:snapToGrid w:val="0"/>
        <w:spacing w:line="360" w:lineRule="auto"/>
        <w:ind w:firstLine="480" w:firstLineChars="200"/>
        <w:rPr>
          <w:rFonts w:hint="eastAsia" w:ascii="宋体" w:hAnsi="宋体"/>
          <w:sz w:val="24"/>
        </w:rPr>
      </w:pPr>
      <w:r>
        <w:rPr>
          <w:rFonts w:hint="eastAsia" w:ascii="宋体" w:hAnsi="宋体"/>
          <w:sz w:val="24"/>
        </w:rPr>
        <w:t>电动机保护回路应采用电动机保护型断路器，具体以设计单位招标图为准。</w:t>
      </w:r>
    </w:p>
    <w:p w14:paraId="62451423">
      <w:pPr>
        <w:adjustRightInd w:val="0"/>
        <w:snapToGrid w:val="0"/>
        <w:spacing w:line="360" w:lineRule="auto"/>
        <w:ind w:firstLine="480" w:firstLineChars="200"/>
        <w:rPr>
          <w:rFonts w:hint="eastAsia" w:ascii="宋体" w:hAnsi="宋体"/>
          <w:sz w:val="24"/>
        </w:rPr>
      </w:pPr>
      <w:r>
        <w:rPr>
          <w:rFonts w:hint="eastAsia" w:ascii="宋体" w:hAnsi="宋体"/>
          <w:sz w:val="24"/>
        </w:rPr>
        <w:t>塑壳断路器上下级断路器级差大于2.5倍时，可实现完全选择性，投标方提供详细的级联技术配合表。</w:t>
      </w:r>
    </w:p>
    <w:p w14:paraId="52F76007">
      <w:pPr>
        <w:adjustRightInd w:val="0"/>
        <w:snapToGrid w:val="0"/>
        <w:spacing w:line="360" w:lineRule="auto"/>
        <w:rPr>
          <w:rFonts w:hint="eastAsia" w:ascii="宋体" w:hAnsi="宋体"/>
          <w:sz w:val="24"/>
        </w:rPr>
      </w:pPr>
      <w:r>
        <w:rPr>
          <w:rFonts w:hint="eastAsia" w:ascii="宋体" w:hAnsi="宋体"/>
          <w:sz w:val="24"/>
          <w:lang w:val="en-US" w:eastAsia="zh-CN"/>
        </w:rPr>
        <w:t>4.2.3.3.3</w:t>
      </w:r>
      <w:r>
        <w:rPr>
          <w:rFonts w:hint="eastAsia" w:ascii="宋体" w:hAnsi="宋体"/>
          <w:sz w:val="24"/>
        </w:rPr>
        <w:t xml:space="preserve"> 电流互感器</w:t>
      </w:r>
    </w:p>
    <w:p w14:paraId="51A105B1">
      <w:pPr>
        <w:numPr>
          <w:ilvl w:val="0"/>
          <w:numId w:val="16"/>
        </w:numPr>
        <w:adjustRightInd w:val="0"/>
        <w:snapToGrid w:val="0"/>
        <w:spacing w:line="360" w:lineRule="auto"/>
        <w:rPr>
          <w:rFonts w:hint="eastAsia" w:ascii="宋体" w:hAnsi="宋体"/>
          <w:sz w:val="24"/>
        </w:rPr>
      </w:pPr>
      <w:r>
        <w:rPr>
          <w:rFonts w:hint="eastAsia" w:ascii="宋体" w:hAnsi="宋体"/>
          <w:sz w:val="24"/>
        </w:rPr>
        <w:t>额定电压：</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380V</w:t>
      </w:r>
    </w:p>
    <w:p w14:paraId="7424537C">
      <w:pPr>
        <w:numPr>
          <w:ilvl w:val="0"/>
          <w:numId w:val="16"/>
        </w:numPr>
        <w:adjustRightInd w:val="0"/>
        <w:snapToGrid w:val="0"/>
        <w:spacing w:line="360" w:lineRule="auto"/>
        <w:rPr>
          <w:rFonts w:hint="eastAsia" w:ascii="宋体" w:hAnsi="宋体"/>
          <w:sz w:val="24"/>
        </w:rPr>
      </w:pPr>
      <w:r>
        <w:rPr>
          <w:rFonts w:hint="eastAsia" w:ascii="宋体" w:hAnsi="宋体"/>
          <w:sz w:val="24"/>
        </w:rPr>
        <w:t>额定一次电流：</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lang w:eastAsia="zh-CN"/>
        </w:rPr>
        <w:t>（</w:t>
      </w:r>
      <w:r>
        <w:rPr>
          <w:rFonts w:hint="eastAsia" w:ascii="宋体" w:hAnsi="宋体"/>
          <w:sz w:val="24"/>
          <w:lang w:val="en-US" w:eastAsia="zh-CN"/>
        </w:rPr>
        <w:t>以招标方设计为准）</w:t>
      </w:r>
    </w:p>
    <w:p w14:paraId="6DCA6A24">
      <w:pPr>
        <w:numPr>
          <w:ilvl w:val="0"/>
          <w:numId w:val="16"/>
        </w:numPr>
        <w:adjustRightInd w:val="0"/>
        <w:snapToGrid w:val="0"/>
        <w:spacing w:line="360" w:lineRule="auto"/>
        <w:rPr>
          <w:rFonts w:hint="eastAsia" w:ascii="宋体" w:hAnsi="宋体"/>
          <w:sz w:val="24"/>
        </w:rPr>
      </w:pPr>
      <w:r>
        <w:rPr>
          <w:rFonts w:hint="eastAsia" w:ascii="宋体" w:hAnsi="宋体"/>
          <w:sz w:val="24"/>
        </w:rPr>
        <w:t>额定二次电流：</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1A</w:t>
      </w:r>
    </w:p>
    <w:p w14:paraId="7A99A446">
      <w:pPr>
        <w:numPr>
          <w:ilvl w:val="0"/>
          <w:numId w:val="16"/>
        </w:numPr>
        <w:adjustRightInd w:val="0"/>
        <w:snapToGrid w:val="0"/>
        <w:spacing w:line="360" w:lineRule="auto"/>
        <w:rPr>
          <w:rFonts w:hint="eastAsia" w:ascii="宋体" w:hAnsi="宋体"/>
          <w:sz w:val="24"/>
        </w:rPr>
      </w:pPr>
      <w:r>
        <w:rPr>
          <w:rFonts w:hint="eastAsia" w:ascii="宋体" w:hAnsi="宋体"/>
          <w:sz w:val="24"/>
        </w:rPr>
        <w:t>精度要求：</w:t>
      </w:r>
      <w:r>
        <w:rPr>
          <w:rFonts w:hint="eastAsia" w:ascii="宋体" w:hAnsi="宋体"/>
          <w:sz w:val="24"/>
        </w:rPr>
        <w:tab/>
      </w:r>
      <w:r>
        <w:rPr>
          <w:rFonts w:hint="eastAsia" w:ascii="宋体" w:hAnsi="宋体"/>
          <w:sz w:val="24"/>
        </w:rPr>
        <w:t>变压器380V侧进线回路每回路设1组三相CT，准确级为0.5。二次容量要求：所有0. 5级CT要求为10VA；</w:t>
      </w:r>
    </w:p>
    <w:p w14:paraId="4261E405">
      <w:pPr>
        <w:numPr>
          <w:ilvl w:val="0"/>
          <w:numId w:val="16"/>
        </w:numPr>
        <w:adjustRightInd w:val="0"/>
        <w:snapToGrid w:val="0"/>
        <w:spacing w:line="360" w:lineRule="auto"/>
        <w:rPr>
          <w:rFonts w:hint="eastAsia" w:ascii="宋体" w:hAnsi="宋体"/>
          <w:sz w:val="24"/>
        </w:rPr>
      </w:pPr>
      <w:r>
        <w:rPr>
          <w:rFonts w:hint="eastAsia" w:ascii="宋体" w:hAnsi="宋体"/>
          <w:sz w:val="24"/>
        </w:rPr>
        <w:t>零序CT要求：精确度等级5P，二次容量15VA。零序CT一次贯穿孔为φ80mm、φ100mm或φ120mm的圆孔。</w:t>
      </w:r>
    </w:p>
    <w:p w14:paraId="416B3C15">
      <w:pPr>
        <w:adjustRightInd w:val="0"/>
        <w:snapToGrid w:val="0"/>
        <w:spacing w:line="360" w:lineRule="auto"/>
        <w:rPr>
          <w:rFonts w:hint="eastAsia" w:ascii="宋体" w:hAnsi="宋体"/>
          <w:sz w:val="24"/>
        </w:rPr>
      </w:pPr>
      <w:r>
        <w:rPr>
          <w:rFonts w:hint="eastAsia" w:ascii="宋体" w:hAnsi="宋体"/>
          <w:sz w:val="24"/>
          <w:lang w:val="en-US" w:eastAsia="zh-CN"/>
        </w:rPr>
        <w:t>4.2.3.3.4</w:t>
      </w:r>
      <w:r>
        <w:rPr>
          <w:rFonts w:hint="eastAsia" w:ascii="宋体" w:hAnsi="宋体"/>
          <w:sz w:val="24"/>
        </w:rPr>
        <w:t>电压互感器</w:t>
      </w:r>
    </w:p>
    <w:p w14:paraId="4F50801D">
      <w:pPr>
        <w:numPr>
          <w:ilvl w:val="0"/>
          <w:numId w:val="17"/>
        </w:numPr>
        <w:adjustRightInd w:val="0"/>
        <w:snapToGrid w:val="0"/>
        <w:spacing w:line="360" w:lineRule="auto"/>
        <w:rPr>
          <w:rFonts w:hint="eastAsia" w:ascii="宋体" w:hAnsi="宋体"/>
          <w:sz w:val="24"/>
        </w:rPr>
      </w:pPr>
      <w:r>
        <w:rPr>
          <w:rFonts w:hint="eastAsia" w:ascii="宋体" w:hAnsi="宋体"/>
          <w:sz w:val="24"/>
        </w:rPr>
        <w:t>型式：</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干式，浇注绝缘</w:t>
      </w:r>
    </w:p>
    <w:p w14:paraId="4B8A0EBF">
      <w:pPr>
        <w:numPr>
          <w:ilvl w:val="0"/>
          <w:numId w:val="17"/>
        </w:numPr>
        <w:adjustRightInd w:val="0"/>
        <w:snapToGrid w:val="0"/>
        <w:spacing w:line="360" w:lineRule="auto"/>
        <w:rPr>
          <w:rFonts w:hint="eastAsia" w:ascii="宋体" w:hAnsi="宋体"/>
          <w:sz w:val="24"/>
        </w:rPr>
      </w:pPr>
      <w:r>
        <w:rPr>
          <w:rFonts w:hint="eastAsia" w:ascii="宋体" w:hAnsi="宋体"/>
          <w:sz w:val="24"/>
        </w:rPr>
        <w:t>额定电压</w:t>
      </w:r>
      <w:r>
        <w:rPr>
          <w:rFonts w:ascii="宋体" w:hAnsi="宋体"/>
          <w:sz w:val="24"/>
        </w:rPr>
        <w:t>：</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ascii="宋体" w:hAnsi="宋体"/>
          <w:sz w:val="24"/>
        </w:rPr>
        <w:t>38</w:t>
      </w:r>
      <w:r>
        <w:rPr>
          <w:rFonts w:hint="eastAsia" w:ascii="宋体" w:hAnsi="宋体"/>
          <w:sz w:val="24"/>
        </w:rPr>
        <w:t>0</w:t>
      </w:r>
      <w:r>
        <w:rPr>
          <w:rFonts w:ascii="宋体" w:hAnsi="宋体"/>
          <w:sz w:val="24"/>
        </w:rPr>
        <w:t>V</w:t>
      </w:r>
    </w:p>
    <w:p w14:paraId="6538EDC4">
      <w:pPr>
        <w:numPr>
          <w:ilvl w:val="0"/>
          <w:numId w:val="17"/>
        </w:numPr>
        <w:adjustRightInd w:val="0"/>
        <w:snapToGrid w:val="0"/>
        <w:spacing w:line="360" w:lineRule="auto"/>
        <w:rPr>
          <w:rFonts w:hint="eastAsia" w:ascii="宋体" w:hAnsi="宋体"/>
          <w:sz w:val="24"/>
        </w:rPr>
      </w:pPr>
      <w:r>
        <w:rPr>
          <w:rFonts w:hint="eastAsia" w:ascii="宋体" w:hAnsi="宋体"/>
          <w:sz w:val="24"/>
        </w:rPr>
        <w:t>额定电压比</w:t>
      </w:r>
      <w:r>
        <w:rPr>
          <w:rFonts w:ascii="宋体" w:hAnsi="宋体"/>
          <w:sz w:val="24"/>
        </w:rPr>
        <w:t>：</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ascii="宋体" w:hAnsi="宋体"/>
          <w:sz w:val="24"/>
        </w:rPr>
        <w:t>0.38/0.1kV</w:t>
      </w:r>
    </w:p>
    <w:p w14:paraId="7DF9C125">
      <w:pPr>
        <w:numPr>
          <w:ilvl w:val="0"/>
          <w:numId w:val="17"/>
        </w:numPr>
        <w:adjustRightInd w:val="0"/>
        <w:snapToGrid w:val="0"/>
        <w:spacing w:line="360" w:lineRule="auto"/>
        <w:rPr>
          <w:rFonts w:hint="eastAsia" w:ascii="宋体" w:hAnsi="宋体"/>
          <w:sz w:val="24"/>
        </w:rPr>
      </w:pPr>
      <w:r>
        <w:rPr>
          <w:rFonts w:hint="eastAsia" w:ascii="宋体" w:hAnsi="宋体"/>
          <w:sz w:val="24"/>
        </w:rPr>
        <w:t>相数</w:t>
      </w:r>
      <w:r>
        <w:rPr>
          <w:rFonts w:ascii="宋体" w:hAnsi="宋体"/>
          <w:sz w:val="24"/>
        </w:rPr>
        <w:t>：</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单相</w:t>
      </w:r>
    </w:p>
    <w:p w14:paraId="186B0BD9">
      <w:pPr>
        <w:numPr>
          <w:ilvl w:val="0"/>
          <w:numId w:val="17"/>
        </w:numPr>
        <w:adjustRightInd w:val="0"/>
        <w:snapToGrid w:val="0"/>
        <w:spacing w:line="360" w:lineRule="auto"/>
        <w:rPr>
          <w:rFonts w:hint="eastAsia" w:ascii="宋体" w:hAnsi="宋体"/>
          <w:sz w:val="24"/>
        </w:rPr>
      </w:pPr>
      <w:r>
        <w:rPr>
          <w:rFonts w:hint="eastAsia" w:ascii="宋体" w:hAnsi="宋体"/>
          <w:sz w:val="24"/>
        </w:rPr>
        <w:t>精度</w:t>
      </w:r>
      <w:r>
        <w:rPr>
          <w:rFonts w:ascii="宋体" w:hAnsi="宋体"/>
          <w:sz w:val="24"/>
        </w:rPr>
        <w:t>：</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ascii="宋体" w:hAnsi="宋体"/>
          <w:sz w:val="24"/>
        </w:rPr>
        <w:t>0.5</w:t>
      </w:r>
      <w:r>
        <w:rPr>
          <w:rFonts w:hint="eastAsia" w:ascii="宋体" w:hAnsi="宋体"/>
          <w:sz w:val="24"/>
        </w:rPr>
        <w:t>级</w:t>
      </w:r>
    </w:p>
    <w:p w14:paraId="469D75BA">
      <w:pPr>
        <w:adjustRightInd w:val="0"/>
        <w:snapToGrid w:val="0"/>
        <w:spacing w:line="360" w:lineRule="auto"/>
        <w:rPr>
          <w:rFonts w:hint="eastAsia" w:ascii="宋体" w:hAnsi="宋体"/>
          <w:sz w:val="24"/>
        </w:rPr>
      </w:pPr>
      <w:r>
        <w:rPr>
          <w:rFonts w:hint="eastAsia" w:ascii="宋体" w:hAnsi="宋体"/>
          <w:sz w:val="24"/>
          <w:lang w:val="en-US" w:eastAsia="zh-CN"/>
        </w:rPr>
        <w:t>4.2.3.3.5</w:t>
      </w:r>
      <w:r>
        <w:rPr>
          <w:rFonts w:hint="eastAsia" w:ascii="宋体" w:hAnsi="宋体"/>
          <w:sz w:val="24"/>
        </w:rPr>
        <w:t xml:space="preserve"> 交流接触器</w:t>
      </w:r>
    </w:p>
    <w:p w14:paraId="56DCC0CE">
      <w:pPr>
        <w:numPr>
          <w:ilvl w:val="0"/>
          <w:numId w:val="18"/>
        </w:numPr>
        <w:adjustRightInd w:val="0"/>
        <w:snapToGrid w:val="0"/>
        <w:spacing w:line="360" w:lineRule="auto"/>
        <w:rPr>
          <w:rFonts w:hint="eastAsia" w:ascii="宋体" w:hAnsi="宋体"/>
          <w:sz w:val="24"/>
        </w:rPr>
      </w:pPr>
      <w:r>
        <w:rPr>
          <w:rFonts w:hint="eastAsia" w:ascii="宋体" w:hAnsi="宋体"/>
          <w:sz w:val="24"/>
        </w:rPr>
        <w:t>额定电压：</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380V</w:t>
      </w:r>
    </w:p>
    <w:p w14:paraId="17B60818">
      <w:pPr>
        <w:numPr>
          <w:ilvl w:val="0"/>
          <w:numId w:val="18"/>
        </w:numPr>
        <w:adjustRightInd w:val="0"/>
        <w:snapToGrid w:val="0"/>
        <w:spacing w:line="360" w:lineRule="auto"/>
        <w:rPr>
          <w:rFonts w:hint="eastAsia" w:ascii="宋体" w:hAnsi="宋体"/>
          <w:sz w:val="24"/>
        </w:rPr>
      </w:pPr>
      <w:r>
        <w:rPr>
          <w:rFonts w:hint="eastAsia" w:ascii="宋体" w:hAnsi="宋体"/>
          <w:sz w:val="24"/>
        </w:rPr>
        <w:t>额定绝缘电压：</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690V</w:t>
      </w:r>
    </w:p>
    <w:p w14:paraId="3679B48C">
      <w:pPr>
        <w:numPr>
          <w:ilvl w:val="0"/>
          <w:numId w:val="16"/>
        </w:numPr>
        <w:adjustRightInd w:val="0"/>
        <w:snapToGrid w:val="0"/>
        <w:spacing w:line="360" w:lineRule="auto"/>
        <w:rPr>
          <w:rFonts w:hint="eastAsia" w:ascii="宋体" w:hAnsi="宋体"/>
          <w:sz w:val="24"/>
        </w:rPr>
      </w:pPr>
      <w:r>
        <w:rPr>
          <w:rFonts w:hint="eastAsia" w:ascii="宋体" w:hAnsi="宋体"/>
          <w:sz w:val="24"/>
        </w:rPr>
        <w:t>额定工作电流：</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lang w:eastAsia="zh-CN"/>
        </w:rPr>
        <w:t>（</w:t>
      </w:r>
      <w:r>
        <w:rPr>
          <w:rFonts w:hint="eastAsia" w:ascii="宋体" w:hAnsi="宋体"/>
          <w:sz w:val="24"/>
          <w:lang w:val="en-US" w:eastAsia="zh-CN"/>
        </w:rPr>
        <w:t>以招标方设计为准）</w:t>
      </w:r>
    </w:p>
    <w:p w14:paraId="1A29666D">
      <w:pPr>
        <w:numPr>
          <w:ilvl w:val="0"/>
          <w:numId w:val="15"/>
        </w:numPr>
        <w:adjustRightInd w:val="0"/>
        <w:snapToGrid w:val="0"/>
        <w:spacing w:line="360" w:lineRule="auto"/>
        <w:rPr>
          <w:rFonts w:hint="eastAsia" w:ascii="宋体" w:hAnsi="宋体"/>
          <w:sz w:val="24"/>
        </w:rPr>
      </w:pPr>
    </w:p>
    <w:p w14:paraId="3C1F88C7">
      <w:pPr>
        <w:adjustRightInd w:val="0"/>
        <w:snapToGrid w:val="0"/>
        <w:spacing w:line="360" w:lineRule="auto"/>
        <w:rPr>
          <w:rFonts w:hint="eastAsia" w:ascii="宋体" w:hAnsi="宋体"/>
          <w:sz w:val="24"/>
        </w:rPr>
      </w:pPr>
      <w:r>
        <w:rPr>
          <w:rFonts w:hint="eastAsia" w:ascii="宋体" w:hAnsi="宋体"/>
          <w:sz w:val="24"/>
          <w:lang w:val="en-US" w:eastAsia="zh-CN"/>
        </w:rPr>
        <w:t>4.2.3.3.6</w:t>
      </w:r>
      <w:r>
        <w:rPr>
          <w:rFonts w:hint="eastAsia" w:ascii="宋体" w:hAnsi="宋体"/>
          <w:sz w:val="24"/>
        </w:rPr>
        <w:t xml:space="preserve"> 交流热继电器</w:t>
      </w:r>
    </w:p>
    <w:p w14:paraId="5B372197">
      <w:pPr>
        <w:numPr>
          <w:ilvl w:val="0"/>
          <w:numId w:val="19"/>
        </w:numPr>
        <w:adjustRightInd w:val="0"/>
        <w:snapToGrid w:val="0"/>
        <w:spacing w:line="360" w:lineRule="auto"/>
        <w:rPr>
          <w:rFonts w:hint="eastAsia" w:ascii="宋体" w:hAnsi="宋体"/>
          <w:sz w:val="24"/>
        </w:rPr>
      </w:pPr>
      <w:r>
        <w:rPr>
          <w:rFonts w:hint="eastAsia" w:ascii="宋体" w:hAnsi="宋体"/>
          <w:sz w:val="24"/>
        </w:rPr>
        <w:t>额定电压：</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380V</w:t>
      </w:r>
    </w:p>
    <w:p w14:paraId="01F883EC">
      <w:pPr>
        <w:numPr>
          <w:ilvl w:val="0"/>
          <w:numId w:val="19"/>
        </w:numPr>
        <w:adjustRightInd w:val="0"/>
        <w:snapToGrid w:val="0"/>
        <w:spacing w:line="360" w:lineRule="auto"/>
        <w:rPr>
          <w:rFonts w:hint="eastAsia" w:ascii="宋体" w:hAnsi="宋体"/>
          <w:sz w:val="24"/>
        </w:rPr>
      </w:pPr>
      <w:r>
        <w:rPr>
          <w:rFonts w:hint="eastAsia" w:ascii="宋体" w:hAnsi="宋体"/>
          <w:sz w:val="24"/>
        </w:rPr>
        <w:t>额定绝缘电压：</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690V</w:t>
      </w:r>
    </w:p>
    <w:p w14:paraId="00A49562">
      <w:pPr>
        <w:numPr>
          <w:ilvl w:val="0"/>
          <w:numId w:val="16"/>
        </w:numPr>
        <w:adjustRightInd w:val="0"/>
        <w:snapToGrid w:val="0"/>
        <w:spacing w:line="360" w:lineRule="auto"/>
        <w:rPr>
          <w:rFonts w:hint="eastAsia" w:ascii="宋体" w:hAnsi="宋体"/>
          <w:sz w:val="24"/>
        </w:rPr>
      </w:pPr>
      <w:r>
        <w:rPr>
          <w:rFonts w:hint="eastAsia" w:ascii="宋体" w:hAnsi="宋体"/>
          <w:sz w:val="24"/>
        </w:rPr>
        <w:t>额定电流：</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lang w:eastAsia="zh-CN"/>
        </w:rPr>
        <w:t>（</w:t>
      </w:r>
      <w:r>
        <w:rPr>
          <w:rFonts w:hint="eastAsia" w:ascii="宋体" w:hAnsi="宋体"/>
          <w:sz w:val="24"/>
          <w:lang w:val="en-US" w:eastAsia="zh-CN"/>
        </w:rPr>
        <w:t>以招标方设计为准）</w:t>
      </w:r>
    </w:p>
    <w:p w14:paraId="5AE4D4F5">
      <w:pPr>
        <w:adjustRightInd w:val="0"/>
        <w:snapToGrid w:val="0"/>
        <w:spacing w:line="360" w:lineRule="auto"/>
        <w:rPr>
          <w:rFonts w:hint="eastAsia" w:ascii="宋体" w:hAnsi="宋体"/>
          <w:sz w:val="24"/>
        </w:rPr>
      </w:pPr>
      <w:r>
        <w:rPr>
          <w:rFonts w:hint="eastAsia" w:ascii="宋体" w:hAnsi="宋体"/>
          <w:sz w:val="24"/>
          <w:lang w:val="en-US" w:eastAsia="zh-CN"/>
        </w:rPr>
        <w:t>4.2.3.4</w:t>
      </w:r>
      <w:r>
        <w:rPr>
          <w:rFonts w:hint="eastAsia" w:ascii="宋体" w:hAnsi="宋体"/>
          <w:sz w:val="24"/>
        </w:rPr>
        <w:t xml:space="preserve"> 开关柜的其它要求</w:t>
      </w:r>
    </w:p>
    <w:p w14:paraId="2FECE925">
      <w:pPr>
        <w:pStyle w:val="4"/>
        <w:widowControl w:val="0"/>
        <w:spacing w:after="0" w:line="360" w:lineRule="auto"/>
        <w:contextualSpacing/>
        <w:jc w:val="both"/>
        <w:textAlignment w:val="baseline"/>
        <w:rPr>
          <w:rFonts w:ascii="宋体" w:hAnsi="宋体"/>
          <w:kern w:val="2"/>
        </w:rPr>
      </w:pPr>
      <w:r>
        <w:rPr>
          <w:rFonts w:hint="eastAsia" w:ascii="宋体" w:hAnsi="宋体"/>
          <w:sz w:val="24"/>
          <w:lang w:val="en-US" w:eastAsia="zh-CN"/>
        </w:rPr>
        <w:t>4.2.3.4.1</w:t>
      </w:r>
      <w:r>
        <w:rPr>
          <w:rFonts w:hint="eastAsia" w:ascii="宋体" w:hAnsi="宋体"/>
          <w:kern w:val="2"/>
        </w:rPr>
        <w:t xml:space="preserve"> 柜架和外壳</w:t>
      </w:r>
    </w:p>
    <w:p w14:paraId="3B3B4D5D">
      <w:pPr>
        <w:pStyle w:val="5"/>
        <w:numPr>
          <w:ilvl w:val="0"/>
          <w:numId w:val="20"/>
        </w:numPr>
        <w:spacing w:line="360" w:lineRule="auto"/>
        <w:ind w:firstLineChars="0"/>
        <w:contextualSpacing/>
        <w:rPr>
          <w:rFonts w:ascii="宋体" w:hAnsi="宋体"/>
          <w:sz w:val="24"/>
        </w:rPr>
      </w:pPr>
      <w:r>
        <w:rPr>
          <w:rFonts w:hint="eastAsia" w:ascii="宋体" w:hAnsi="宋体"/>
          <w:sz w:val="24"/>
        </w:rPr>
        <w:t>设备的柜架为垂直地面安装的自撑式结构。</w:t>
      </w:r>
    </w:p>
    <w:p w14:paraId="04910E07">
      <w:pPr>
        <w:pStyle w:val="5"/>
        <w:numPr>
          <w:ilvl w:val="0"/>
          <w:numId w:val="20"/>
        </w:numPr>
        <w:spacing w:line="360" w:lineRule="auto"/>
        <w:ind w:firstLineChars="0"/>
        <w:contextualSpacing/>
        <w:rPr>
          <w:rFonts w:ascii="宋体" w:hAnsi="宋体"/>
          <w:sz w:val="24"/>
        </w:rPr>
      </w:pPr>
      <w:r>
        <w:rPr>
          <w:rFonts w:hint="eastAsia" w:ascii="宋体" w:hAnsi="宋体"/>
          <w:sz w:val="24"/>
        </w:rPr>
        <w:t>柜体的结构允许电缆从柜体底部或顶部进入柜体，底部的开孔尺寸及定位必须完全严格满足设计单位《开关柜外形尺寸及底板开孔图》中的要求。</w:t>
      </w:r>
      <w:r>
        <w:rPr>
          <w:rFonts w:hint="eastAsia" w:ascii="宋体" w:hAnsi="宋体"/>
          <w:kern w:val="0"/>
          <w:sz w:val="24"/>
          <w:szCs w:val="20"/>
        </w:rPr>
        <w:t>柜体结构应能满足电缆从顶部或底部两个方向引入屏内，柜内设置水平走线槽和垂直走线槽，与水平母线完全隔离；垂直走线槽从柜内的顶部水平走线槽延伸到底部。为了安全及易于检查布线垂直走线槽应用铰链门遮盖。为便于固定开关柜电缆上进（出）线桥架分支，开关柜顶部电缆进口处应提供支持件。一般安装为不靠墙，如布置位置特别狭小，其产品应能靠墙布置。</w:t>
      </w:r>
    </w:p>
    <w:p w14:paraId="2FEBD4D9">
      <w:pPr>
        <w:pStyle w:val="5"/>
        <w:numPr>
          <w:ilvl w:val="0"/>
          <w:numId w:val="20"/>
        </w:numPr>
        <w:spacing w:line="360" w:lineRule="auto"/>
        <w:ind w:firstLineChars="0"/>
        <w:contextualSpacing/>
        <w:rPr>
          <w:rFonts w:ascii="宋体" w:hAnsi="宋体"/>
          <w:sz w:val="24"/>
        </w:rPr>
      </w:pPr>
      <w:r>
        <w:rPr>
          <w:rFonts w:hint="eastAsia" w:ascii="宋体" w:hAnsi="宋体"/>
          <w:sz w:val="24"/>
        </w:rPr>
        <w:t>开关柜的主构架采用</w:t>
      </w:r>
      <w:r>
        <w:rPr>
          <w:rFonts w:ascii="宋体" w:hAnsi="宋体"/>
          <w:sz w:val="24"/>
        </w:rPr>
        <w:t>C（KB）</w:t>
      </w:r>
      <w:r>
        <w:rPr>
          <w:rFonts w:hint="eastAsia" w:ascii="宋体" w:hAnsi="宋体"/>
          <w:sz w:val="24"/>
        </w:rPr>
        <w:t>型钢</w:t>
      </w:r>
      <w:r>
        <w:rPr>
          <w:rFonts w:ascii="宋体" w:hAnsi="宋体"/>
          <w:sz w:val="24"/>
        </w:rPr>
        <w:t>材</w:t>
      </w:r>
      <w:r>
        <w:rPr>
          <w:rFonts w:hint="eastAsia" w:ascii="宋体" w:hAnsi="宋体"/>
          <w:sz w:val="24"/>
        </w:rPr>
        <w:t>，开关柜的框架和外壳是金属的，其框架和各隔板采用进口覆铝锌钢板(δ≥2.0mm)制成。柜架和外壳有足够的强度和刚度，能承受所安装元件及短路时所产生的动、热稳定。同时不因成套设备的吊装、运输等情况而影响设备的性能。内部分隔板选用进口覆铝锌板。并用无裂缝的钢板全部包成独立固定结构。前后门板采用</w:t>
      </w:r>
      <w:r>
        <w:rPr>
          <w:rFonts w:ascii="宋体" w:hAnsi="宋体"/>
          <w:sz w:val="24"/>
        </w:rPr>
        <w:t>2.</w:t>
      </w:r>
      <w:r>
        <w:rPr>
          <w:rFonts w:hint="eastAsia" w:ascii="宋体" w:hAnsi="宋体"/>
          <w:sz w:val="24"/>
        </w:rPr>
        <w:t>0</w:t>
      </w:r>
      <w:r>
        <w:rPr>
          <w:rFonts w:ascii="宋体" w:hAnsi="宋体"/>
          <w:sz w:val="24"/>
        </w:rPr>
        <w:t>mm</w:t>
      </w:r>
      <w:r>
        <w:rPr>
          <w:rFonts w:hint="eastAsia" w:ascii="宋体" w:hAnsi="宋体"/>
          <w:sz w:val="24"/>
        </w:rPr>
        <w:t>的镀锌冷轧钢板表面进行喷涂处理，整个柜体用拉铆和螺拴紧固组装而成，所有板件均在进口的数控柔性自动加工线上完成，其线性和形位公差不大于</w:t>
      </w:r>
      <w:r>
        <w:rPr>
          <w:rFonts w:ascii="宋体" w:hAnsi="宋体"/>
          <w:sz w:val="24"/>
        </w:rPr>
        <w:t>0.1mm</w:t>
      </w:r>
      <w:r>
        <w:rPr>
          <w:rFonts w:hint="eastAsia" w:ascii="宋体" w:hAnsi="宋体"/>
          <w:sz w:val="24"/>
        </w:rPr>
        <w:t>。外型面漆美观大方，附着力强，硬度高，耐腐性强，抗老化，线条流畅，保色性能良好。对电流大于3200A的开关柜，部分结构件采用铝板或不锈钢板制作，以抑制涡流的产生。</w:t>
      </w:r>
    </w:p>
    <w:p w14:paraId="6E20D691">
      <w:pPr>
        <w:pStyle w:val="5"/>
        <w:numPr>
          <w:ilvl w:val="0"/>
          <w:numId w:val="20"/>
        </w:numPr>
        <w:spacing w:line="360" w:lineRule="auto"/>
        <w:ind w:firstLineChars="0"/>
        <w:contextualSpacing/>
        <w:rPr>
          <w:rFonts w:ascii="宋体" w:hAnsi="宋体"/>
          <w:sz w:val="24"/>
        </w:rPr>
      </w:pPr>
      <w:r>
        <w:rPr>
          <w:rFonts w:hint="eastAsia" w:ascii="宋体" w:hAnsi="宋体"/>
          <w:sz w:val="24"/>
        </w:rPr>
        <w:t>开关柜内的设备布置合理且符合性能要求，框架内留有足够的空间以便于检修，开关柜的上部结构、侧面结构、母线、控制接线便于将来扩建和延伸。</w:t>
      </w:r>
    </w:p>
    <w:p w14:paraId="1AEFE9BC">
      <w:pPr>
        <w:pStyle w:val="5"/>
        <w:numPr>
          <w:ilvl w:val="0"/>
          <w:numId w:val="20"/>
        </w:numPr>
        <w:spacing w:line="360" w:lineRule="auto"/>
        <w:ind w:firstLineChars="0"/>
        <w:contextualSpacing/>
        <w:rPr>
          <w:rFonts w:ascii="宋体" w:hAnsi="宋体"/>
          <w:sz w:val="24"/>
        </w:rPr>
      </w:pPr>
      <w:r>
        <w:rPr>
          <w:rFonts w:hint="eastAsia" w:ascii="宋体" w:hAnsi="宋体"/>
          <w:sz w:val="24"/>
        </w:rPr>
        <w:t>为便于开关柜在运输和安装过程中搬运，开关柜设计并提供可移动的起吊搬运手段。</w:t>
      </w:r>
    </w:p>
    <w:p w14:paraId="179E1618">
      <w:pPr>
        <w:pStyle w:val="5"/>
        <w:numPr>
          <w:ilvl w:val="0"/>
          <w:numId w:val="20"/>
        </w:numPr>
        <w:spacing w:line="360" w:lineRule="auto"/>
        <w:ind w:firstLineChars="0"/>
        <w:contextualSpacing/>
        <w:rPr>
          <w:rFonts w:ascii="宋体" w:hAnsi="宋体"/>
          <w:sz w:val="24"/>
        </w:rPr>
      </w:pPr>
      <w:r>
        <w:rPr>
          <w:rFonts w:hint="eastAsia" w:ascii="宋体" w:hAnsi="宋体"/>
          <w:sz w:val="24"/>
        </w:rPr>
        <w:t>开关柜装绞链门。在每个垂直部分的背面，装绞链门。</w:t>
      </w:r>
    </w:p>
    <w:p w14:paraId="333621F1">
      <w:pPr>
        <w:pStyle w:val="5"/>
        <w:numPr>
          <w:ilvl w:val="0"/>
          <w:numId w:val="20"/>
        </w:numPr>
        <w:spacing w:line="360" w:lineRule="auto"/>
        <w:ind w:firstLineChars="0"/>
        <w:contextualSpacing/>
        <w:rPr>
          <w:rFonts w:ascii="宋体" w:hAnsi="宋体"/>
          <w:sz w:val="24"/>
        </w:rPr>
      </w:pPr>
      <w:r>
        <w:rPr>
          <w:rFonts w:hint="eastAsia" w:ascii="宋体" w:hAnsi="宋体"/>
          <w:sz w:val="24"/>
        </w:rPr>
        <w:t>开关柜电气一、二次引出线固定接头应设计在开关柜侧面专用电缆室，柜内二次线应合理布线并用线槽或蛇行管绑扎固定，所有动力一次固定接头应采用专用防护罩进行隔离防护，防止外物导致短路。</w:t>
      </w:r>
    </w:p>
    <w:p w14:paraId="71BAFEA8">
      <w:pPr>
        <w:pStyle w:val="5"/>
        <w:numPr>
          <w:ilvl w:val="0"/>
          <w:numId w:val="20"/>
        </w:numPr>
        <w:spacing w:line="360" w:lineRule="auto"/>
        <w:ind w:firstLineChars="0"/>
        <w:contextualSpacing/>
        <w:rPr>
          <w:rFonts w:hint="eastAsia" w:ascii="宋体" w:hAnsi="宋体"/>
          <w:sz w:val="24"/>
        </w:rPr>
      </w:pPr>
      <w:r>
        <w:rPr>
          <w:rFonts w:hint="eastAsia" w:ascii="宋体" w:hAnsi="宋体"/>
          <w:sz w:val="24"/>
        </w:rPr>
        <w:t>开关柜的外形应平整美观，内、外表层颜色为浅驼灰。</w:t>
      </w:r>
    </w:p>
    <w:p w14:paraId="184CA858">
      <w:pPr>
        <w:pStyle w:val="5"/>
        <w:numPr>
          <w:ilvl w:val="0"/>
          <w:numId w:val="20"/>
        </w:numPr>
        <w:snapToGrid w:val="0"/>
        <w:spacing w:line="360" w:lineRule="auto"/>
        <w:ind w:firstLineChars="0"/>
        <w:rPr>
          <w:rFonts w:ascii="宋体" w:hAnsi="宋体"/>
          <w:sz w:val="24"/>
        </w:rPr>
      </w:pPr>
      <w:r>
        <w:rPr>
          <w:rFonts w:hint="eastAsia" w:ascii="宋体" w:hAnsi="宋体"/>
          <w:sz w:val="24"/>
        </w:rPr>
        <w:t>控制板应予以加强，以防止变形。控制板应用暗式或内装式加强绞链固定，并且应采用能使板或绞链部件避免下陷、卡死或整体变形的方法将它撑牢。为了能牢牢地将板固定在关闭和打开位置，应提供锁扣装置或拇指旋动的金属螺栓。</w:t>
      </w:r>
    </w:p>
    <w:p w14:paraId="78643AAC">
      <w:pPr>
        <w:pStyle w:val="5"/>
        <w:numPr>
          <w:ilvl w:val="0"/>
          <w:numId w:val="20"/>
        </w:numPr>
        <w:snapToGrid w:val="0"/>
        <w:spacing w:line="360" w:lineRule="auto"/>
        <w:ind w:firstLineChars="0"/>
        <w:rPr>
          <w:rFonts w:ascii="宋体" w:hAnsi="宋体"/>
          <w:sz w:val="24"/>
        </w:rPr>
      </w:pPr>
      <w:r>
        <w:rPr>
          <w:rFonts w:hint="eastAsia" w:ascii="宋体" w:hAnsi="宋体"/>
          <w:sz w:val="24"/>
        </w:rPr>
        <w:t>百叶窗或其他通风孔的布置和安装，应能防止由上面滴水或地板上溅起的水进入开关柜内。</w:t>
      </w:r>
    </w:p>
    <w:p w14:paraId="1499D789">
      <w:pPr>
        <w:pStyle w:val="5"/>
        <w:numPr>
          <w:ilvl w:val="0"/>
          <w:numId w:val="20"/>
        </w:numPr>
        <w:snapToGrid w:val="0"/>
        <w:spacing w:line="360" w:lineRule="auto"/>
        <w:ind w:firstLineChars="0"/>
        <w:rPr>
          <w:rFonts w:ascii="宋体" w:hAnsi="宋体"/>
          <w:sz w:val="24"/>
        </w:rPr>
      </w:pPr>
      <w:r>
        <w:rPr>
          <w:rFonts w:ascii="宋体" w:hAnsi="宋体"/>
          <w:sz w:val="24"/>
        </w:rPr>
        <w:t>仪表板应是绞链连接，</w:t>
      </w:r>
      <w:r>
        <w:rPr>
          <w:rFonts w:hint="eastAsia" w:ascii="宋体" w:hAnsi="宋体"/>
          <w:sz w:val="24"/>
        </w:rPr>
        <w:t>仪表板的结构方式应保证当仪表板摇到最大开启位置时，允许不受限制地进入前面间隔。预留安装的仪表和继电器等，其位置不被布线占用。</w:t>
      </w:r>
    </w:p>
    <w:p w14:paraId="0ED9E2B4">
      <w:pPr>
        <w:pStyle w:val="5"/>
        <w:numPr>
          <w:ilvl w:val="0"/>
          <w:numId w:val="20"/>
        </w:numPr>
        <w:snapToGrid w:val="0"/>
        <w:spacing w:line="360" w:lineRule="auto"/>
        <w:ind w:firstLineChars="0"/>
        <w:rPr>
          <w:rFonts w:hint="eastAsia" w:ascii="宋体" w:hAnsi="宋体"/>
          <w:sz w:val="24"/>
        </w:rPr>
      </w:pPr>
      <w:r>
        <w:rPr>
          <w:rFonts w:ascii="宋体" w:hAnsi="宋体"/>
          <w:sz w:val="24"/>
        </w:rPr>
        <w:t>为了在断路器处于“隔离”位置时，能关闭开关柜外门，柜内应留出足够的空间。</w:t>
      </w:r>
    </w:p>
    <w:p w14:paraId="413CBF1B">
      <w:pPr>
        <w:pStyle w:val="5"/>
        <w:numPr>
          <w:ilvl w:val="0"/>
          <w:numId w:val="20"/>
        </w:numPr>
        <w:snapToGrid w:val="0"/>
        <w:spacing w:line="360" w:lineRule="auto"/>
        <w:ind w:firstLineChars="0"/>
        <w:rPr>
          <w:rFonts w:ascii="宋体" w:hAnsi="宋体"/>
          <w:sz w:val="24"/>
        </w:rPr>
      </w:pPr>
      <w:r>
        <w:rPr>
          <w:rFonts w:hint="eastAsia" w:ascii="宋体" w:hAnsi="宋体"/>
          <w:sz w:val="24"/>
        </w:rPr>
        <w:t>当断路器在运行、试验和隔离任一位置的时候，均能把断路器可靠地固定在柜体内。应调整得使断路器能锁在接通位置之前，所有触头能完全啮合。</w:t>
      </w:r>
    </w:p>
    <w:p w14:paraId="401A9117">
      <w:pPr>
        <w:pStyle w:val="5"/>
        <w:numPr>
          <w:ilvl w:val="0"/>
          <w:numId w:val="20"/>
        </w:numPr>
        <w:spacing w:line="360" w:lineRule="auto"/>
        <w:ind w:firstLineChars="0"/>
        <w:contextualSpacing/>
        <w:rPr>
          <w:rFonts w:hint="eastAsia" w:ascii="宋体" w:hAnsi="宋体"/>
          <w:sz w:val="24"/>
        </w:rPr>
      </w:pPr>
      <w:r>
        <w:rPr>
          <w:rFonts w:hint="eastAsia" w:ascii="宋体" w:hAnsi="宋体"/>
          <w:sz w:val="24"/>
        </w:rPr>
        <w:t>装于柜体上的继电器，能防止断路器或其他电器设备正常操作振动而误动作。</w:t>
      </w:r>
    </w:p>
    <w:p w14:paraId="3BE4D375">
      <w:pPr>
        <w:pStyle w:val="4"/>
        <w:widowControl w:val="0"/>
        <w:spacing w:after="0" w:line="360" w:lineRule="auto"/>
        <w:contextualSpacing/>
        <w:jc w:val="both"/>
        <w:textAlignment w:val="baseline"/>
        <w:rPr>
          <w:rFonts w:ascii="宋体" w:hAnsi="宋体"/>
          <w:kern w:val="2"/>
        </w:rPr>
      </w:pPr>
      <w:r>
        <w:rPr>
          <w:rFonts w:hint="eastAsia" w:ascii="宋体" w:hAnsi="宋体"/>
          <w:sz w:val="24"/>
          <w:lang w:val="en-US" w:eastAsia="zh-CN"/>
        </w:rPr>
        <w:t>4.2.3.4.2</w:t>
      </w:r>
      <w:r>
        <w:rPr>
          <w:rFonts w:hint="eastAsia" w:ascii="宋体" w:hAnsi="宋体"/>
          <w:kern w:val="2"/>
        </w:rPr>
        <w:t xml:space="preserve"> 通风孔</w:t>
      </w:r>
    </w:p>
    <w:p w14:paraId="52427EB0">
      <w:pPr>
        <w:pStyle w:val="7"/>
        <w:numPr>
          <w:ilvl w:val="0"/>
          <w:numId w:val="21"/>
        </w:numPr>
        <w:spacing w:line="360" w:lineRule="auto"/>
        <w:ind w:leftChars="0"/>
        <w:contextualSpacing/>
        <w:rPr>
          <w:rFonts w:ascii="宋体" w:hAnsi="宋体"/>
          <w:sz w:val="24"/>
        </w:rPr>
      </w:pPr>
      <w:r>
        <w:rPr>
          <w:rFonts w:hint="eastAsia" w:ascii="宋体" w:hAnsi="宋体"/>
          <w:sz w:val="24"/>
        </w:rPr>
        <w:t>通风孔的设计和安装应使得当熔断器、断路器在正常工作时或在短路情况下没有电弧或可熔金属喷出。</w:t>
      </w:r>
    </w:p>
    <w:p w14:paraId="507077E8">
      <w:pPr>
        <w:pStyle w:val="7"/>
        <w:numPr>
          <w:ilvl w:val="0"/>
          <w:numId w:val="21"/>
        </w:numPr>
        <w:spacing w:line="360" w:lineRule="auto"/>
        <w:ind w:leftChars="0"/>
        <w:contextualSpacing/>
        <w:rPr>
          <w:rFonts w:ascii="宋体" w:hAnsi="宋体"/>
          <w:sz w:val="24"/>
        </w:rPr>
      </w:pPr>
      <w:r>
        <w:rPr>
          <w:rFonts w:hint="eastAsia" w:ascii="宋体" w:hAnsi="宋体"/>
          <w:sz w:val="24"/>
        </w:rPr>
        <w:t>通风孔的尺寸、形状及安装位置不使整个外壳的强度下降。</w:t>
      </w:r>
    </w:p>
    <w:p w14:paraId="73510883">
      <w:pPr>
        <w:pStyle w:val="7"/>
        <w:numPr>
          <w:ilvl w:val="0"/>
          <w:numId w:val="21"/>
        </w:numPr>
        <w:spacing w:line="360" w:lineRule="auto"/>
        <w:ind w:leftChars="0"/>
        <w:contextualSpacing/>
        <w:rPr>
          <w:rFonts w:ascii="宋体" w:hAnsi="宋体"/>
          <w:sz w:val="24"/>
        </w:rPr>
      </w:pPr>
      <w:r>
        <w:rPr>
          <w:rFonts w:hint="eastAsia" w:ascii="宋体" w:hAnsi="宋体"/>
          <w:sz w:val="24"/>
        </w:rPr>
        <w:t>通风孔的位置不应降低外壳的防护等级，并能防止由上面滴水或地板上溅起的水进入开关柜内。</w:t>
      </w:r>
    </w:p>
    <w:p w14:paraId="73E2033A">
      <w:pPr>
        <w:pStyle w:val="7"/>
        <w:numPr>
          <w:ilvl w:val="0"/>
          <w:numId w:val="21"/>
        </w:numPr>
        <w:spacing w:line="360" w:lineRule="auto"/>
        <w:ind w:leftChars="0"/>
        <w:contextualSpacing/>
        <w:rPr>
          <w:rFonts w:ascii="宋体" w:hAnsi="宋体"/>
          <w:sz w:val="24"/>
        </w:rPr>
      </w:pPr>
      <w:r>
        <w:rPr>
          <w:rFonts w:hint="eastAsia" w:ascii="宋体" w:hAnsi="宋体"/>
          <w:sz w:val="24"/>
        </w:rPr>
        <w:t>外壳顶部的通风孔用覆板遮盖。</w:t>
      </w:r>
    </w:p>
    <w:p w14:paraId="2BE7E90A">
      <w:pPr>
        <w:pStyle w:val="4"/>
        <w:widowControl w:val="0"/>
        <w:spacing w:after="0" w:line="360" w:lineRule="auto"/>
        <w:contextualSpacing/>
        <w:jc w:val="both"/>
        <w:textAlignment w:val="baseline"/>
        <w:rPr>
          <w:rFonts w:ascii="宋体" w:hAnsi="宋体"/>
          <w:kern w:val="2"/>
        </w:rPr>
      </w:pPr>
      <w:r>
        <w:rPr>
          <w:rFonts w:hint="eastAsia" w:ascii="宋体" w:hAnsi="宋体"/>
          <w:sz w:val="24"/>
          <w:lang w:val="en-US" w:eastAsia="zh-CN"/>
        </w:rPr>
        <w:t>4.2.3.4.3</w:t>
      </w:r>
      <w:r>
        <w:rPr>
          <w:rFonts w:hint="eastAsia" w:ascii="宋体" w:hAnsi="宋体"/>
          <w:kern w:val="2"/>
        </w:rPr>
        <w:t>隔离</w:t>
      </w:r>
    </w:p>
    <w:p w14:paraId="12E11383">
      <w:pPr>
        <w:pStyle w:val="7"/>
        <w:numPr>
          <w:ilvl w:val="0"/>
          <w:numId w:val="22"/>
        </w:numPr>
        <w:spacing w:line="360" w:lineRule="auto"/>
        <w:ind w:leftChars="0"/>
        <w:contextualSpacing/>
        <w:rPr>
          <w:rFonts w:hint="eastAsia" w:ascii="宋体" w:hAnsi="宋体"/>
          <w:sz w:val="24"/>
        </w:rPr>
      </w:pPr>
      <w:r>
        <w:rPr>
          <w:rFonts w:hint="eastAsia" w:ascii="宋体" w:hAnsi="宋体"/>
          <w:sz w:val="24"/>
        </w:rPr>
        <w:t>利用隔板可将开关柜划分成几个隔室，如母线隔室、电缆隔室、功能单元隔室等，以满足下述要求：</w:t>
      </w:r>
    </w:p>
    <w:p w14:paraId="6A9DFD2B">
      <w:pPr>
        <w:numPr>
          <w:ilvl w:val="0"/>
          <w:numId w:val="23"/>
        </w:numPr>
        <w:spacing w:line="360" w:lineRule="auto"/>
        <w:contextualSpacing/>
        <w:rPr>
          <w:rFonts w:ascii="宋体" w:hAnsi="宋体"/>
          <w:sz w:val="24"/>
        </w:rPr>
      </w:pPr>
      <w:r>
        <w:rPr>
          <w:rFonts w:hint="eastAsia" w:ascii="宋体" w:hAnsi="宋体"/>
          <w:sz w:val="24"/>
        </w:rPr>
        <w:t>防止触及邻近功能单元的带电部件；</w:t>
      </w:r>
    </w:p>
    <w:p w14:paraId="302EBA06">
      <w:pPr>
        <w:numPr>
          <w:ilvl w:val="0"/>
          <w:numId w:val="23"/>
        </w:numPr>
        <w:spacing w:line="360" w:lineRule="auto"/>
        <w:contextualSpacing/>
        <w:rPr>
          <w:rFonts w:ascii="宋体" w:hAnsi="宋体"/>
          <w:sz w:val="24"/>
        </w:rPr>
      </w:pPr>
      <w:r>
        <w:rPr>
          <w:rFonts w:hint="eastAsia" w:ascii="宋体" w:hAnsi="宋体"/>
          <w:sz w:val="24"/>
        </w:rPr>
        <w:t>限制事故电弧的扩大；</w:t>
      </w:r>
    </w:p>
    <w:p w14:paraId="416FBA52">
      <w:pPr>
        <w:numPr>
          <w:ilvl w:val="0"/>
          <w:numId w:val="23"/>
        </w:numPr>
        <w:spacing w:line="360" w:lineRule="auto"/>
        <w:contextualSpacing/>
        <w:rPr>
          <w:rFonts w:ascii="宋体" w:hAnsi="宋体"/>
          <w:sz w:val="24"/>
        </w:rPr>
      </w:pPr>
      <w:r>
        <w:rPr>
          <w:rFonts w:hint="eastAsia" w:ascii="宋体" w:hAnsi="宋体"/>
          <w:sz w:val="24"/>
        </w:rPr>
        <w:t>防止外界物体从一个隔室进入另一个隔室；</w:t>
      </w:r>
    </w:p>
    <w:p w14:paraId="346ACBB1">
      <w:pPr>
        <w:pStyle w:val="7"/>
        <w:numPr>
          <w:ilvl w:val="0"/>
          <w:numId w:val="24"/>
        </w:numPr>
        <w:tabs>
          <w:tab w:val="left" w:pos="0"/>
          <w:tab w:val="clear" w:pos="1216"/>
        </w:tabs>
        <w:spacing w:line="360" w:lineRule="auto"/>
        <w:ind w:left="360" w:leftChars="0" w:hanging="360" w:hangingChars="150"/>
        <w:contextualSpacing/>
        <w:rPr>
          <w:rFonts w:hint="eastAsia" w:ascii="宋体" w:hAnsi="宋体"/>
          <w:sz w:val="24"/>
        </w:rPr>
      </w:pPr>
      <w:r>
        <w:rPr>
          <w:rFonts w:hint="eastAsia" w:ascii="宋体" w:hAnsi="宋体"/>
          <w:sz w:val="24"/>
        </w:rPr>
        <w:t>隔室之间的开孔能确保熔断器、断路器在短路分断时产生的气体不影响相邻隔室的功能单元的正常工作。</w:t>
      </w:r>
    </w:p>
    <w:p w14:paraId="45843E13">
      <w:pPr>
        <w:numPr>
          <w:ilvl w:val="0"/>
          <w:numId w:val="24"/>
        </w:numPr>
        <w:tabs>
          <w:tab w:val="left" w:pos="0"/>
          <w:tab w:val="clear" w:pos="1216"/>
        </w:tabs>
        <w:ind w:left="360" w:hanging="360" w:hangingChars="150"/>
        <w:rPr>
          <w:rFonts w:hint="eastAsia" w:ascii="宋体" w:hAnsi="宋体"/>
          <w:sz w:val="24"/>
        </w:rPr>
      </w:pPr>
      <w:r>
        <w:rPr>
          <w:rFonts w:hint="eastAsia" w:ascii="宋体" w:hAnsi="宋体"/>
          <w:sz w:val="24"/>
        </w:rPr>
        <w:t>功能单元隔室中的隔板不应因为短路分断时所产生的电弧或游离气体所产生的压力而造成损害或永久变形。</w:t>
      </w:r>
    </w:p>
    <w:p w14:paraId="1D6E4404">
      <w:pPr>
        <w:pStyle w:val="7"/>
        <w:numPr>
          <w:ilvl w:val="0"/>
          <w:numId w:val="24"/>
        </w:numPr>
        <w:tabs>
          <w:tab w:val="left" w:pos="0"/>
          <w:tab w:val="clear" w:pos="1216"/>
        </w:tabs>
        <w:spacing w:line="360" w:lineRule="auto"/>
        <w:ind w:left="360" w:leftChars="0" w:hanging="360" w:hangingChars="150"/>
        <w:contextualSpacing/>
        <w:rPr>
          <w:rFonts w:ascii="宋体" w:hAnsi="宋体"/>
          <w:sz w:val="24"/>
        </w:rPr>
      </w:pPr>
      <w:r>
        <w:rPr>
          <w:rFonts w:hint="eastAsia" w:ascii="宋体" w:hAnsi="宋体"/>
          <w:sz w:val="24"/>
        </w:rPr>
        <w:t>用作隔离的隔板可以是金属板或绝缘板，金属隔板与保护接地导体可靠连接，金属隔板在人体碰撞时的变形不会使其与带电部分的绝缘距离减小到规程不允许的程度，绝缘隔板与带电部分的绝缘距离符合规程要求，且在人体碰撞时不发生碎、裂。</w:t>
      </w:r>
    </w:p>
    <w:p w14:paraId="2D8CE0A5">
      <w:pPr>
        <w:pStyle w:val="7"/>
        <w:numPr>
          <w:ilvl w:val="0"/>
          <w:numId w:val="24"/>
        </w:numPr>
        <w:tabs>
          <w:tab w:val="left" w:pos="0"/>
          <w:tab w:val="clear" w:pos="1216"/>
        </w:tabs>
        <w:spacing w:line="360" w:lineRule="auto"/>
        <w:ind w:left="360" w:leftChars="0" w:hanging="360" w:hangingChars="150"/>
        <w:contextualSpacing/>
        <w:rPr>
          <w:rFonts w:ascii="宋体" w:hAnsi="宋体"/>
          <w:sz w:val="24"/>
        </w:rPr>
      </w:pPr>
      <w:r>
        <w:rPr>
          <w:rFonts w:hint="eastAsia" w:ascii="宋体" w:hAnsi="宋体"/>
          <w:sz w:val="24"/>
        </w:rPr>
        <w:t>装于柜体上的继电器，应能防止断路器或其它电气设备正常操作振动而误动作。</w:t>
      </w:r>
    </w:p>
    <w:p w14:paraId="67515B4F">
      <w:pPr>
        <w:pStyle w:val="7"/>
        <w:numPr>
          <w:ilvl w:val="0"/>
          <w:numId w:val="24"/>
        </w:numPr>
        <w:tabs>
          <w:tab w:val="left" w:pos="0"/>
          <w:tab w:val="clear" w:pos="1216"/>
        </w:tabs>
        <w:spacing w:line="360" w:lineRule="auto"/>
        <w:ind w:left="360" w:leftChars="0" w:hanging="360" w:hangingChars="150"/>
        <w:contextualSpacing/>
        <w:rPr>
          <w:rFonts w:ascii="宋体" w:hAnsi="宋体"/>
          <w:sz w:val="24"/>
        </w:rPr>
      </w:pPr>
      <w:r>
        <w:rPr>
          <w:rFonts w:hint="eastAsia" w:ascii="宋体" w:hAnsi="宋体"/>
          <w:sz w:val="24"/>
        </w:rPr>
        <w:t>电缆室所有动力电缆接头采用专用防护罩进行隔离防护，防止外物跌落导致短路。</w:t>
      </w:r>
    </w:p>
    <w:p w14:paraId="5CC54F23">
      <w:pPr>
        <w:pStyle w:val="4"/>
        <w:widowControl w:val="0"/>
        <w:spacing w:after="0" w:line="360" w:lineRule="auto"/>
        <w:contextualSpacing/>
        <w:jc w:val="both"/>
        <w:textAlignment w:val="baseline"/>
        <w:rPr>
          <w:rFonts w:ascii="宋体" w:hAnsi="宋体"/>
          <w:kern w:val="2"/>
        </w:rPr>
      </w:pPr>
      <w:r>
        <w:rPr>
          <w:rFonts w:hint="eastAsia" w:ascii="宋体" w:hAnsi="宋体"/>
          <w:sz w:val="24"/>
          <w:lang w:val="en-US" w:eastAsia="zh-CN"/>
        </w:rPr>
        <w:t>4.2.3.4.4</w:t>
      </w:r>
      <w:r>
        <w:rPr>
          <w:rFonts w:hint="eastAsia" w:ascii="宋体" w:hAnsi="宋体"/>
          <w:kern w:val="2"/>
        </w:rPr>
        <w:t xml:space="preserve"> 功能单元</w:t>
      </w:r>
    </w:p>
    <w:p w14:paraId="7A0697AF">
      <w:pPr>
        <w:pStyle w:val="7"/>
        <w:numPr>
          <w:ilvl w:val="0"/>
          <w:numId w:val="25"/>
        </w:numPr>
        <w:spacing w:line="360" w:lineRule="auto"/>
        <w:ind w:leftChars="0"/>
        <w:contextualSpacing/>
        <w:rPr>
          <w:rFonts w:ascii="宋体" w:hAnsi="宋体"/>
          <w:sz w:val="24"/>
        </w:rPr>
      </w:pPr>
      <w:r>
        <w:rPr>
          <w:rFonts w:hint="eastAsia" w:ascii="宋体" w:hAnsi="宋体"/>
          <w:sz w:val="24"/>
        </w:rPr>
        <w:t>即使主电路带电(但主开关应分断)，也能用手直接或借助工具安全地将功能单元抽出或插入。</w:t>
      </w:r>
    </w:p>
    <w:p w14:paraId="17382B98">
      <w:pPr>
        <w:pStyle w:val="7"/>
        <w:numPr>
          <w:ilvl w:val="0"/>
          <w:numId w:val="25"/>
        </w:numPr>
        <w:spacing w:line="360" w:lineRule="auto"/>
        <w:ind w:leftChars="0"/>
        <w:contextualSpacing/>
        <w:rPr>
          <w:rFonts w:ascii="宋体" w:hAnsi="宋体"/>
          <w:sz w:val="24"/>
        </w:rPr>
      </w:pPr>
      <w:r>
        <w:rPr>
          <w:rFonts w:hint="eastAsia" w:ascii="宋体" w:hAnsi="宋体"/>
          <w:sz w:val="24"/>
        </w:rPr>
        <w:t>功能单元在单元隔室中应有三个明显的位置。</w:t>
      </w:r>
    </w:p>
    <w:p w14:paraId="255755B8">
      <w:pPr>
        <w:numPr>
          <w:ilvl w:val="0"/>
          <w:numId w:val="23"/>
        </w:numPr>
        <w:tabs>
          <w:tab w:val="left" w:pos="0"/>
          <w:tab w:val="clear" w:pos="1216"/>
        </w:tabs>
        <w:spacing w:line="360" w:lineRule="auto"/>
        <w:ind w:left="0" w:firstLine="484" w:firstLineChars="202"/>
        <w:contextualSpacing/>
        <w:rPr>
          <w:rFonts w:ascii="宋体" w:hAnsi="宋体"/>
          <w:sz w:val="24"/>
        </w:rPr>
      </w:pPr>
      <w:r>
        <w:rPr>
          <w:rFonts w:hint="eastAsia" w:ascii="宋体" w:hAnsi="宋体"/>
          <w:sz w:val="24"/>
        </w:rPr>
        <w:t>连接位置；</w:t>
      </w:r>
    </w:p>
    <w:p w14:paraId="6869E872">
      <w:pPr>
        <w:numPr>
          <w:ilvl w:val="0"/>
          <w:numId w:val="23"/>
        </w:numPr>
        <w:tabs>
          <w:tab w:val="left" w:pos="0"/>
          <w:tab w:val="clear" w:pos="1216"/>
        </w:tabs>
        <w:spacing w:line="360" w:lineRule="auto"/>
        <w:ind w:left="0" w:firstLine="484" w:firstLineChars="202"/>
        <w:contextualSpacing/>
        <w:rPr>
          <w:rFonts w:ascii="宋体" w:hAnsi="宋体"/>
          <w:sz w:val="24"/>
        </w:rPr>
      </w:pPr>
      <w:r>
        <w:rPr>
          <w:rFonts w:hint="eastAsia" w:ascii="宋体" w:hAnsi="宋体"/>
          <w:sz w:val="24"/>
        </w:rPr>
        <w:t>试验位置；</w:t>
      </w:r>
    </w:p>
    <w:p w14:paraId="330CEEBA">
      <w:pPr>
        <w:numPr>
          <w:ilvl w:val="0"/>
          <w:numId w:val="23"/>
        </w:numPr>
        <w:tabs>
          <w:tab w:val="left" w:pos="0"/>
          <w:tab w:val="clear" w:pos="1216"/>
        </w:tabs>
        <w:spacing w:line="360" w:lineRule="auto"/>
        <w:ind w:left="0" w:firstLine="484" w:firstLineChars="202"/>
        <w:contextualSpacing/>
        <w:rPr>
          <w:rFonts w:ascii="宋体" w:hAnsi="宋体"/>
          <w:sz w:val="24"/>
        </w:rPr>
      </w:pPr>
      <w:r>
        <w:rPr>
          <w:rFonts w:hint="eastAsia" w:ascii="宋体" w:hAnsi="宋体"/>
          <w:sz w:val="24"/>
        </w:rPr>
        <w:t>分离位置。</w:t>
      </w:r>
    </w:p>
    <w:p w14:paraId="50D977F1">
      <w:pPr>
        <w:pStyle w:val="7"/>
        <w:numPr>
          <w:ilvl w:val="0"/>
          <w:numId w:val="26"/>
        </w:numPr>
        <w:tabs>
          <w:tab w:val="left" w:pos="360"/>
          <w:tab w:val="clear" w:pos="1216"/>
        </w:tabs>
        <w:spacing w:line="360" w:lineRule="auto"/>
        <w:ind w:left="360" w:leftChars="0" w:hanging="360"/>
        <w:contextualSpacing/>
        <w:rPr>
          <w:rFonts w:ascii="宋体" w:hAnsi="宋体"/>
          <w:sz w:val="24"/>
        </w:rPr>
      </w:pPr>
      <w:r>
        <w:rPr>
          <w:rFonts w:hint="eastAsia" w:ascii="宋体" w:hAnsi="宋体"/>
          <w:sz w:val="24"/>
        </w:rPr>
        <w:t>当功能单元处于试验位置时，功能单元主回路自动形成有效隔离，辅助电路满足主开关“远方”“就地”分或合试验的要求。</w:t>
      </w:r>
    </w:p>
    <w:p w14:paraId="6ECFA0F8">
      <w:pPr>
        <w:pStyle w:val="7"/>
        <w:numPr>
          <w:ilvl w:val="0"/>
          <w:numId w:val="26"/>
        </w:numPr>
        <w:tabs>
          <w:tab w:val="left" w:pos="360"/>
          <w:tab w:val="clear" w:pos="1216"/>
        </w:tabs>
        <w:spacing w:line="360" w:lineRule="auto"/>
        <w:ind w:left="360" w:leftChars="0" w:hanging="360"/>
        <w:contextualSpacing/>
        <w:rPr>
          <w:rFonts w:ascii="宋体" w:hAnsi="宋体"/>
          <w:sz w:val="24"/>
        </w:rPr>
      </w:pPr>
      <w:r>
        <w:rPr>
          <w:rFonts w:hint="eastAsia" w:ascii="宋体" w:hAnsi="宋体"/>
          <w:sz w:val="24"/>
        </w:rPr>
        <w:t>位置指示可以采用位置指示标牌，也可借助操作机构的位置加以区别。</w:t>
      </w:r>
    </w:p>
    <w:p w14:paraId="488E68A7">
      <w:pPr>
        <w:pStyle w:val="7"/>
        <w:numPr>
          <w:ilvl w:val="0"/>
          <w:numId w:val="26"/>
        </w:numPr>
        <w:tabs>
          <w:tab w:val="left" w:pos="360"/>
          <w:tab w:val="clear" w:pos="1216"/>
        </w:tabs>
        <w:spacing w:line="360" w:lineRule="auto"/>
        <w:ind w:left="360" w:leftChars="0" w:hanging="360"/>
        <w:contextualSpacing/>
        <w:rPr>
          <w:rFonts w:ascii="宋体" w:hAnsi="宋体"/>
          <w:sz w:val="24"/>
        </w:rPr>
      </w:pPr>
      <w:r>
        <w:rPr>
          <w:rFonts w:hint="eastAsia" w:ascii="宋体" w:hAnsi="宋体"/>
          <w:sz w:val="24"/>
        </w:rPr>
        <w:t>功能单元在三个位置都应有机械定位装置，不允许因外力的作用而从一个位置移动到另一个位置。</w:t>
      </w:r>
    </w:p>
    <w:p w14:paraId="5B1E538A">
      <w:pPr>
        <w:pStyle w:val="7"/>
        <w:numPr>
          <w:ilvl w:val="0"/>
          <w:numId w:val="26"/>
        </w:numPr>
        <w:tabs>
          <w:tab w:val="left" w:pos="360"/>
          <w:tab w:val="clear" w:pos="1216"/>
        </w:tabs>
        <w:spacing w:line="360" w:lineRule="auto"/>
        <w:ind w:left="360" w:leftChars="0" w:hanging="360"/>
        <w:contextualSpacing/>
        <w:rPr>
          <w:rFonts w:ascii="宋体" w:hAnsi="宋体"/>
          <w:sz w:val="24"/>
        </w:rPr>
      </w:pPr>
      <w:r>
        <w:rPr>
          <w:rFonts w:hint="eastAsia" w:ascii="宋体" w:hAnsi="宋体"/>
          <w:sz w:val="24"/>
        </w:rPr>
        <w:t>功能单元的主电路隔离接插件(包括进线和出线)跟随功能单元自动地接通和分离，辅助电路隔离接插件则可以是自动接通和分离，也可以通过手动来完成。</w:t>
      </w:r>
    </w:p>
    <w:p w14:paraId="606BE04D">
      <w:pPr>
        <w:pStyle w:val="7"/>
        <w:numPr>
          <w:ilvl w:val="0"/>
          <w:numId w:val="26"/>
        </w:numPr>
        <w:tabs>
          <w:tab w:val="left" w:pos="360"/>
          <w:tab w:val="clear" w:pos="1216"/>
        </w:tabs>
        <w:spacing w:line="360" w:lineRule="auto"/>
        <w:ind w:left="360" w:leftChars="0" w:hanging="360"/>
        <w:contextualSpacing/>
        <w:rPr>
          <w:rFonts w:ascii="宋体" w:hAnsi="宋体"/>
          <w:sz w:val="24"/>
        </w:rPr>
      </w:pPr>
      <w:r>
        <w:rPr>
          <w:rFonts w:hint="eastAsia" w:ascii="宋体" w:hAnsi="宋体"/>
          <w:sz w:val="24"/>
        </w:rPr>
        <w:t>如功能单元上装有电路连接插头，它的动作状态是：</w:t>
      </w:r>
    </w:p>
    <w:p w14:paraId="7B3ED093">
      <w:pPr>
        <w:pStyle w:val="7"/>
        <w:numPr>
          <w:ilvl w:val="0"/>
          <w:numId w:val="27"/>
        </w:numPr>
        <w:tabs>
          <w:tab w:val="left" w:pos="720"/>
          <w:tab w:val="clear" w:pos="1216"/>
        </w:tabs>
        <w:spacing w:line="360" w:lineRule="auto"/>
        <w:ind w:left="900" w:leftChars="257" w:hanging="360" w:hangingChars="150"/>
        <w:contextualSpacing/>
        <w:rPr>
          <w:rFonts w:ascii="宋体" w:hAnsi="宋体"/>
          <w:sz w:val="24"/>
        </w:rPr>
      </w:pPr>
      <w:r>
        <w:rPr>
          <w:rFonts w:hint="eastAsia" w:ascii="宋体" w:hAnsi="宋体"/>
          <w:sz w:val="24"/>
        </w:rPr>
        <w:t>主电路隔离接插件与主带电导体连接之前保护电路连接插头与外壳的保   护导体先接通。</w:t>
      </w:r>
    </w:p>
    <w:p w14:paraId="4E08906B">
      <w:pPr>
        <w:pStyle w:val="7"/>
        <w:numPr>
          <w:ilvl w:val="0"/>
          <w:numId w:val="28"/>
        </w:numPr>
        <w:tabs>
          <w:tab w:val="left" w:pos="900"/>
          <w:tab w:val="clear" w:pos="1216"/>
        </w:tabs>
        <w:spacing w:line="360" w:lineRule="auto"/>
        <w:ind w:left="900" w:leftChars="257" w:hanging="360"/>
        <w:contextualSpacing/>
        <w:rPr>
          <w:rFonts w:hint="eastAsia" w:ascii="宋体" w:hAnsi="宋体"/>
          <w:sz w:val="24"/>
        </w:rPr>
      </w:pPr>
      <w:r>
        <w:rPr>
          <w:rFonts w:hint="eastAsia" w:ascii="宋体" w:hAnsi="宋体"/>
          <w:sz w:val="24"/>
        </w:rPr>
        <w:t>主电路隔离接插件与主带电导体分离后，保护电路连接插头才允许与保护导体分离。</w:t>
      </w:r>
    </w:p>
    <w:p w14:paraId="037410D3">
      <w:pPr>
        <w:rPr>
          <w:rFonts w:hint="eastAsia" w:ascii="宋体" w:hAnsi="宋体"/>
          <w:sz w:val="24"/>
        </w:rPr>
      </w:pPr>
      <w:r>
        <w:rPr>
          <w:rFonts w:hint="eastAsia" w:ascii="宋体" w:hAnsi="宋体"/>
          <w:sz w:val="24"/>
          <w:lang w:val="en-US" w:eastAsia="zh-CN"/>
        </w:rPr>
        <w:t>4.2.3.4.5</w:t>
      </w:r>
      <w:r>
        <w:rPr>
          <w:rFonts w:hint="eastAsia" w:ascii="宋体" w:hAnsi="宋体"/>
          <w:sz w:val="24"/>
        </w:rPr>
        <w:t xml:space="preserve"> 联锁</w:t>
      </w:r>
    </w:p>
    <w:p w14:paraId="0A52E6BC">
      <w:pPr>
        <w:pStyle w:val="7"/>
        <w:spacing w:line="360" w:lineRule="auto"/>
        <w:ind w:left="540" w:leftChars="0" w:hanging="540"/>
        <w:contextualSpacing/>
        <w:rPr>
          <w:rFonts w:ascii="宋体" w:hAnsi="宋体"/>
          <w:sz w:val="24"/>
        </w:rPr>
      </w:pPr>
      <w:r>
        <w:rPr>
          <w:rFonts w:hint="eastAsia" w:ascii="宋体" w:hAnsi="宋体"/>
          <w:sz w:val="24"/>
        </w:rPr>
        <w:t>提供如下辅助开关和机械联锁：</w:t>
      </w:r>
    </w:p>
    <w:p w14:paraId="2908A13D">
      <w:pPr>
        <w:pStyle w:val="7"/>
        <w:numPr>
          <w:ilvl w:val="0"/>
          <w:numId w:val="29"/>
        </w:numPr>
        <w:tabs>
          <w:tab w:val="left" w:pos="360"/>
          <w:tab w:val="clear" w:pos="1216"/>
        </w:tabs>
        <w:spacing w:line="360" w:lineRule="auto"/>
        <w:ind w:left="360" w:leftChars="0" w:hanging="360"/>
        <w:contextualSpacing/>
        <w:rPr>
          <w:rFonts w:ascii="宋体" w:hAnsi="宋体"/>
          <w:sz w:val="24"/>
        </w:rPr>
      </w:pPr>
      <w:r>
        <w:rPr>
          <w:rFonts w:hint="eastAsia" w:ascii="宋体" w:hAnsi="宋体"/>
          <w:sz w:val="24"/>
        </w:rPr>
        <w:t>安装一只位置开关，当断路器从“接通”位置抽出时应动作。该位置开关在断路器回复到“接通”位置之前，它应保持在动作的位置上。位置开关是用来使断路器从“接通”位置抽出时将断路器从“远方”变换到“就地”控制的。</w:t>
      </w:r>
    </w:p>
    <w:p w14:paraId="4EADCE93">
      <w:pPr>
        <w:pStyle w:val="7"/>
        <w:numPr>
          <w:ilvl w:val="0"/>
          <w:numId w:val="29"/>
        </w:numPr>
        <w:tabs>
          <w:tab w:val="left" w:pos="360"/>
          <w:tab w:val="clear" w:pos="1216"/>
        </w:tabs>
        <w:spacing w:line="360" w:lineRule="auto"/>
        <w:ind w:left="360" w:leftChars="0" w:hanging="360"/>
        <w:contextualSpacing/>
        <w:rPr>
          <w:rFonts w:ascii="宋体" w:hAnsi="宋体"/>
          <w:sz w:val="24"/>
        </w:rPr>
      </w:pPr>
      <w:r>
        <w:rPr>
          <w:rFonts w:hint="eastAsia" w:ascii="宋体" w:hAnsi="宋体"/>
          <w:sz w:val="24"/>
        </w:rPr>
        <w:t>功能单元与小室的门设置机械联锁。当主开关(断路器或熔断器式刀开关)处于分断位置，门才能打开，否则门打不开。</w:t>
      </w:r>
    </w:p>
    <w:p w14:paraId="600DE264">
      <w:pPr>
        <w:pStyle w:val="7"/>
        <w:numPr>
          <w:ilvl w:val="0"/>
          <w:numId w:val="29"/>
        </w:numPr>
        <w:tabs>
          <w:tab w:val="left" w:pos="360"/>
          <w:tab w:val="clear" w:pos="1216"/>
        </w:tabs>
        <w:spacing w:line="360" w:lineRule="auto"/>
        <w:ind w:left="360" w:leftChars="0" w:hanging="360"/>
        <w:contextualSpacing/>
        <w:rPr>
          <w:rFonts w:ascii="宋体" w:hAnsi="宋体"/>
          <w:sz w:val="24"/>
        </w:rPr>
      </w:pPr>
      <w:r>
        <w:rPr>
          <w:rFonts w:hint="eastAsia" w:ascii="宋体" w:hAnsi="宋体"/>
          <w:sz w:val="24"/>
        </w:rPr>
        <w:t>为了防止未经允许的操作，主开关的操作机构能使用挂锁将其锁在分断位置上</w:t>
      </w:r>
      <w:r>
        <w:rPr>
          <w:rFonts w:ascii="宋体" w:hAnsi="宋体"/>
          <w:sz w:val="24"/>
        </w:rPr>
        <w:t xml:space="preserve"> </w:t>
      </w:r>
      <w:r>
        <w:rPr>
          <w:rFonts w:hint="eastAsia" w:ascii="宋体" w:hAnsi="宋体"/>
          <w:sz w:val="24"/>
        </w:rPr>
        <w:t>。</w:t>
      </w:r>
    </w:p>
    <w:p w14:paraId="6B05872F">
      <w:pPr>
        <w:pStyle w:val="7"/>
        <w:numPr>
          <w:ilvl w:val="0"/>
          <w:numId w:val="29"/>
        </w:numPr>
        <w:tabs>
          <w:tab w:val="left" w:pos="360"/>
          <w:tab w:val="clear" w:pos="1216"/>
        </w:tabs>
        <w:spacing w:line="360" w:lineRule="auto"/>
        <w:ind w:left="360" w:leftChars="0" w:hanging="360"/>
        <w:contextualSpacing/>
        <w:rPr>
          <w:rFonts w:hint="eastAsia" w:ascii="宋体" w:hAnsi="宋体"/>
          <w:sz w:val="24"/>
        </w:rPr>
      </w:pPr>
      <w:r>
        <w:rPr>
          <w:rFonts w:hint="eastAsia" w:ascii="宋体" w:hAnsi="宋体"/>
          <w:sz w:val="24"/>
        </w:rPr>
        <w:t>设置解锁机构，当特殊需要时，通过解锁机构，在主开关处于接通位置时，也能将门打开。</w:t>
      </w:r>
    </w:p>
    <w:p w14:paraId="0AF36DC5">
      <w:pPr>
        <w:pStyle w:val="7"/>
        <w:numPr>
          <w:ilvl w:val="0"/>
          <w:numId w:val="29"/>
        </w:numPr>
        <w:tabs>
          <w:tab w:val="left" w:pos="360"/>
          <w:tab w:val="clear" w:pos="1216"/>
        </w:tabs>
        <w:spacing w:line="360" w:lineRule="auto"/>
        <w:ind w:left="360" w:leftChars="0" w:hanging="360"/>
        <w:contextualSpacing/>
        <w:rPr>
          <w:rFonts w:hint="eastAsia" w:ascii="宋体" w:hAnsi="宋体"/>
          <w:sz w:val="24"/>
        </w:rPr>
      </w:pPr>
      <w:r>
        <w:rPr>
          <w:rFonts w:hint="eastAsia" w:ascii="宋体" w:hAnsi="宋体"/>
          <w:sz w:val="24"/>
        </w:rPr>
        <w:t>功能单元（抽屉）应设有独立的门，可实现关门操作；同时抽屉应有防跌落装置，防止操作时因用力过猛，发生抽屉跌落。</w:t>
      </w:r>
    </w:p>
    <w:p w14:paraId="20FE4760">
      <w:pPr>
        <w:pStyle w:val="7"/>
        <w:numPr>
          <w:ilvl w:val="0"/>
          <w:numId w:val="29"/>
        </w:numPr>
        <w:tabs>
          <w:tab w:val="left" w:pos="360"/>
          <w:tab w:val="clear" w:pos="1216"/>
        </w:tabs>
        <w:spacing w:line="360" w:lineRule="auto"/>
        <w:ind w:left="360" w:leftChars="0" w:hanging="360"/>
        <w:contextualSpacing/>
        <w:rPr>
          <w:rFonts w:hint="eastAsia" w:ascii="宋体" w:hAnsi="宋体"/>
          <w:sz w:val="24"/>
        </w:rPr>
      </w:pPr>
      <w:r>
        <w:rPr>
          <w:rFonts w:hint="eastAsia" w:ascii="宋体" w:hAnsi="宋体"/>
          <w:sz w:val="24"/>
        </w:rPr>
        <w:t>为指示断路器的“开”和“合”位置，应提供机械动作指示牌。</w:t>
      </w:r>
    </w:p>
    <w:p w14:paraId="6455E137">
      <w:pPr>
        <w:pStyle w:val="7"/>
        <w:numPr>
          <w:ilvl w:val="0"/>
          <w:numId w:val="29"/>
        </w:numPr>
        <w:tabs>
          <w:tab w:val="left" w:pos="360"/>
          <w:tab w:val="clear" w:pos="1216"/>
        </w:tabs>
        <w:spacing w:line="360" w:lineRule="auto"/>
        <w:ind w:left="360" w:leftChars="0" w:hanging="360"/>
        <w:contextualSpacing/>
        <w:rPr>
          <w:rFonts w:hint="eastAsia" w:ascii="宋体" w:hAnsi="宋体"/>
          <w:sz w:val="24"/>
        </w:rPr>
      </w:pPr>
      <w:r>
        <w:rPr>
          <w:rFonts w:hint="eastAsia" w:ascii="宋体" w:hAnsi="宋体"/>
          <w:sz w:val="24"/>
        </w:rPr>
        <w:t>除非一次隔离装置处于完好接触或分离一个安全距离，其它操作状态应有防止断路器合闸的措施。</w:t>
      </w:r>
    </w:p>
    <w:p w14:paraId="703961DC">
      <w:pPr>
        <w:pStyle w:val="4"/>
        <w:widowControl w:val="0"/>
        <w:spacing w:after="0" w:line="360" w:lineRule="auto"/>
        <w:contextualSpacing/>
        <w:jc w:val="both"/>
        <w:textAlignment w:val="baseline"/>
        <w:rPr>
          <w:rFonts w:ascii="宋体" w:hAnsi="宋体"/>
          <w:kern w:val="2"/>
        </w:rPr>
      </w:pPr>
      <w:r>
        <w:rPr>
          <w:rFonts w:hint="eastAsia" w:ascii="宋体" w:hAnsi="宋体"/>
          <w:sz w:val="24"/>
          <w:lang w:val="en-US" w:eastAsia="zh-CN"/>
        </w:rPr>
        <w:t>4.2.3.4.6</w:t>
      </w:r>
      <w:r>
        <w:rPr>
          <w:rFonts w:hint="eastAsia" w:ascii="宋体" w:hAnsi="宋体"/>
          <w:kern w:val="2"/>
        </w:rPr>
        <w:t xml:space="preserve"> 主母线和分支母线</w:t>
      </w:r>
    </w:p>
    <w:p w14:paraId="4F8146E2">
      <w:pPr>
        <w:pStyle w:val="7"/>
        <w:numPr>
          <w:ilvl w:val="0"/>
          <w:numId w:val="30"/>
        </w:numPr>
        <w:spacing w:line="360" w:lineRule="auto"/>
        <w:ind w:leftChars="0"/>
        <w:contextualSpacing/>
        <w:rPr>
          <w:rFonts w:hint="eastAsia" w:ascii="宋体" w:hAnsi="宋体"/>
          <w:sz w:val="24"/>
        </w:rPr>
      </w:pPr>
      <w:r>
        <w:rPr>
          <w:rFonts w:hint="eastAsia" w:ascii="宋体" w:hAnsi="宋体"/>
          <w:sz w:val="24"/>
        </w:rPr>
        <w:t>主母线、分支母线及接头，都应予以</w:t>
      </w:r>
      <w:r>
        <w:rPr>
          <w:rFonts w:ascii="宋体" w:hAnsi="宋体"/>
          <w:sz w:val="24"/>
        </w:rPr>
        <w:t>加绝缘护套</w:t>
      </w:r>
      <w:r>
        <w:rPr>
          <w:rFonts w:hint="eastAsia" w:ascii="宋体" w:hAnsi="宋体"/>
          <w:sz w:val="24"/>
        </w:rPr>
        <w:t>，</w:t>
      </w:r>
      <w:r>
        <w:rPr>
          <w:rFonts w:ascii="宋体" w:hAnsi="宋体"/>
          <w:sz w:val="24"/>
        </w:rPr>
        <w:t>且母线载流量不受影响。</w:t>
      </w:r>
    </w:p>
    <w:p w14:paraId="49F7B669">
      <w:pPr>
        <w:pStyle w:val="7"/>
        <w:numPr>
          <w:ilvl w:val="0"/>
          <w:numId w:val="30"/>
        </w:numPr>
        <w:spacing w:line="360" w:lineRule="auto"/>
        <w:ind w:leftChars="0"/>
        <w:contextualSpacing/>
        <w:rPr>
          <w:rFonts w:ascii="宋体" w:hAnsi="宋体"/>
          <w:sz w:val="24"/>
        </w:rPr>
      </w:pPr>
      <w:r>
        <w:rPr>
          <w:rFonts w:hint="eastAsia" w:ascii="宋体" w:hAnsi="宋体"/>
          <w:sz w:val="24"/>
        </w:rPr>
        <w:t>采用螺栓连接时，每个连接头不少于两个螺栓。</w:t>
      </w:r>
      <w:r>
        <w:rPr>
          <w:rFonts w:ascii="宋体" w:hAnsi="宋体"/>
          <w:sz w:val="24"/>
        </w:rPr>
        <w:t>低压开关柜内设置中性点工作母线和接地保护母线，工作母线和接地保护母线贯穿低压开关柜组全长。中性点工作母线截面不小于主母线的50％，接地保护母线截面不小于50×5mm2。开关柜的主母线和接地工作母线及接地保护母线均采用铜质。其截面按设计图纸要求。配电母线采用高导电率铜导体，其相对导电率达到99.99％的铜质母线</w:t>
      </w:r>
      <w:r>
        <w:rPr>
          <w:rFonts w:hint="eastAsia" w:ascii="宋体" w:hAnsi="宋体"/>
          <w:sz w:val="24"/>
        </w:rPr>
        <w:t>，采用螺栓连接时，每个连接头不少于两个螺栓。</w:t>
      </w:r>
      <w:r>
        <w:rPr>
          <w:rFonts w:ascii="宋体" w:hAnsi="宋体"/>
          <w:sz w:val="24"/>
        </w:rPr>
        <w:t>接地保护母线的颜色应符合GB2681－81</w:t>
      </w:r>
      <w:r>
        <w:rPr>
          <w:rFonts w:hint="eastAsia" w:ascii="宋体" w:hAnsi="宋体"/>
          <w:sz w:val="24"/>
        </w:rPr>
        <w:t>“</w:t>
      </w:r>
      <w:r>
        <w:rPr>
          <w:rFonts w:ascii="宋体" w:hAnsi="宋体"/>
          <w:sz w:val="24"/>
        </w:rPr>
        <w:t>电工成套装置中的导线颜色</w:t>
      </w:r>
      <w:r>
        <w:rPr>
          <w:rFonts w:hint="eastAsia" w:ascii="宋体" w:hAnsi="宋体"/>
          <w:sz w:val="24"/>
        </w:rPr>
        <w:t>”</w:t>
      </w:r>
      <w:r>
        <w:rPr>
          <w:rFonts w:ascii="宋体" w:hAnsi="宋体"/>
          <w:sz w:val="24"/>
        </w:rPr>
        <w:t>的规定。</w:t>
      </w:r>
      <w:r>
        <w:rPr>
          <w:rFonts w:hint="eastAsia" w:ascii="宋体" w:hAnsi="宋体"/>
          <w:sz w:val="24"/>
        </w:rPr>
        <w:t>绝缘导线选用铜制多股绞线。</w:t>
      </w:r>
    </w:p>
    <w:p w14:paraId="3DFF8486">
      <w:pPr>
        <w:pStyle w:val="7"/>
        <w:numPr>
          <w:ilvl w:val="0"/>
          <w:numId w:val="30"/>
        </w:numPr>
        <w:spacing w:line="360" w:lineRule="auto"/>
        <w:ind w:leftChars="0"/>
        <w:contextualSpacing/>
        <w:rPr>
          <w:rFonts w:ascii="宋体" w:hAnsi="宋体"/>
          <w:sz w:val="24"/>
        </w:rPr>
      </w:pPr>
      <w:r>
        <w:rPr>
          <w:rFonts w:hint="eastAsia" w:ascii="宋体" w:hAnsi="宋体"/>
          <w:sz w:val="24"/>
        </w:rPr>
        <w:t>主母线支架及母线绝缘材料具有低吸潮特性，在设备使用寿命期间内设备的机械和介质强度不应降低。</w:t>
      </w:r>
    </w:p>
    <w:p w14:paraId="1FA6E345">
      <w:pPr>
        <w:pStyle w:val="7"/>
        <w:numPr>
          <w:ilvl w:val="0"/>
          <w:numId w:val="30"/>
        </w:numPr>
        <w:spacing w:line="360" w:lineRule="auto"/>
        <w:ind w:leftChars="0"/>
        <w:contextualSpacing/>
        <w:rPr>
          <w:rFonts w:ascii="宋体" w:hAnsi="宋体"/>
          <w:sz w:val="24"/>
        </w:rPr>
      </w:pPr>
      <w:r>
        <w:rPr>
          <w:rFonts w:hint="eastAsia" w:ascii="宋体" w:hAnsi="宋体"/>
          <w:sz w:val="24"/>
        </w:rPr>
        <w:t>额定电流超过</w:t>
      </w:r>
      <w:r>
        <w:rPr>
          <w:rFonts w:ascii="宋体" w:hAnsi="宋体"/>
          <w:sz w:val="24"/>
        </w:rPr>
        <w:t>630A</w:t>
      </w:r>
      <w:r>
        <w:rPr>
          <w:rFonts w:hint="eastAsia" w:ascii="宋体" w:hAnsi="宋体"/>
          <w:sz w:val="24"/>
        </w:rPr>
        <w:t>的铜母线，在搭接部位要求搪锡或镀银。</w:t>
      </w:r>
    </w:p>
    <w:p w14:paraId="4AA3087B">
      <w:pPr>
        <w:pStyle w:val="7"/>
        <w:numPr>
          <w:ilvl w:val="0"/>
          <w:numId w:val="30"/>
        </w:numPr>
        <w:spacing w:line="360" w:lineRule="auto"/>
        <w:ind w:leftChars="0"/>
        <w:contextualSpacing/>
        <w:rPr>
          <w:rFonts w:ascii="宋体" w:hAnsi="宋体"/>
          <w:sz w:val="24"/>
        </w:rPr>
      </w:pPr>
      <w:r>
        <w:rPr>
          <w:rFonts w:hint="eastAsia" w:ascii="宋体" w:hAnsi="宋体"/>
          <w:sz w:val="24"/>
        </w:rPr>
        <w:t>设置垂直母线安全隔板，当可抽出单元抽出时可以防止意外触及垂直母线，绝对保证操作人员的人身安全同时不影响抽出单元与垂直母线的接通性能。</w:t>
      </w:r>
    </w:p>
    <w:p w14:paraId="6D04EA4F">
      <w:pPr>
        <w:pStyle w:val="7"/>
        <w:numPr>
          <w:ilvl w:val="0"/>
          <w:numId w:val="30"/>
        </w:numPr>
        <w:spacing w:line="360" w:lineRule="auto"/>
        <w:ind w:leftChars="0"/>
        <w:contextualSpacing/>
        <w:rPr>
          <w:rFonts w:hint="eastAsia" w:ascii="宋体" w:hAnsi="宋体"/>
          <w:sz w:val="24"/>
        </w:rPr>
      </w:pPr>
      <w:r>
        <w:rPr>
          <w:rFonts w:hint="eastAsia" w:ascii="宋体" w:hAnsi="宋体"/>
          <w:sz w:val="24"/>
        </w:rPr>
        <w:t>中性母线全绝缘，其电流额定值为相母线的</w:t>
      </w:r>
      <w:r>
        <w:rPr>
          <w:rFonts w:ascii="宋体" w:hAnsi="宋体"/>
          <w:sz w:val="24"/>
        </w:rPr>
        <w:t>50%</w:t>
      </w:r>
      <w:r>
        <w:rPr>
          <w:rFonts w:hint="eastAsia" w:ascii="宋体" w:hAnsi="宋体"/>
          <w:sz w:val="24"/>
        </w:rPr>
        <w:t>及以上。中性母线由</w:t>
      </w:r>
      <w:r>
        <w:rPr>
          <w:rFonts w:ascii="宋体" w:hAnsi="宋体"/>
          <w:sz w:val="24"/>
        </w:rPr>
        <w:t>2</w:t>
      </w:r>
      <w:r>
        <w:rPr>
          <w:rFonts w:hint="eastAsia" w:ascii="宋体" w:hAnsi="宋体"/>
          <w:sz w:val="24"/>
        </w:rPr>
        <w:t>根独立引线接到开关柜接地母线上。</w:t>
      </w:r>
    </w:p>
    <w:p w14:paraId="63B7986F">
      <w:pPr>
        <w:pStyle w:val="7"/>
        <w:numPr>
          <w:ilvl w:val="0"/>
          <w:numId w:val="30"/>
        </w:numPr>
        <w:spacing w:line="360" w:lineRule="auto"/>
        <w:ind w:leftChars="0"/>
        <w:contextualSpacing/>
        <w:rPr>
          <w:rFonts w:hint="eastAsia" w:ascii="宋体" w:hAnsi="宋体"/>
          <w:sz w:val="24"/>
        </w:rPr>
      </w:pPr>
      <w:r>
        <w:rPr>
          <w:rFonts w:hint="eastAsia" w:ascii="宋体" w:hAnsi="宋体"/>
          <w:sz w:val="24"/>
        </w:rPr>
        <w:t>进线单元、配电回路单元垂直引线载流量见各回路配置表，所能承受的额定短时耐受电流及额定峰值电流应不低于水平母线的相应值。</w:t>
      </w:r>
    </w:p>
    <w:p w14:paraId="53805887">
      <w:pPr>
        <w:numPr>
          <w:ilvl w:val="0"/>
          <w:numId w:val="30"/>
        </w:numPr>
        <w:rPr>
          <w:rFonts w:hint="eastAsia" w:ascii="宋体" w:hAnsi="宋体"/>
          <w:sz w:val="24"/>
        </w:rPr>
      </w:pPr>
      <w:r>
        <w:rPr>
          <w:rFonts w:hint="eastAsia" w:ascii="宋体" w:hAnsi="宋体"/>
          <w:sz w:val="24"/>
        </w:rPr>
        <w:t>为便于电缆引接，凡有2根及以上电缆的回路应在距盘底500mm处设电缆汇流铜母排，截面应满足回路载流量及动热稳定的要求。</w:t>
      </w:r>
    </w:p>
    <w:p w14:paraId="685F08B1">
      <w:pPr>
        <w:pStyle w:val="7"/>
        <w:numPr>
          <w:ilvl w:val="0"/>
          <w:numId w:val="30"/>
        </w:numPr>
        <w:spacing w:line="360" w:lineRule="auto"/>
        <w:ind w:leftChars="0"/>
        <w:contextualSpacing/>
        <w:rPr>
          <w:rFonts w:hint="eastAsia" w:ascii="宋体" w:hAnsi="宋体"/>
          <w:sz w:val="24"/>
        </w:rPr>
      </w:pPr>
      <w:r>
        <w:rPr>
          <w:rFonts w:hint="eastAsia" w:ascii="宋体" w:hAnsi="宋体"/>
          <w:sz w:val="24"/>
        </w:rPr>
        <w:t>低压开关柜内设独立的PE接地系统，并贯穿整个装置。PE线材料为铜排，接地排上开有模数孔，以便于和柜体，接地性保护导体通过螺钉连接。</w:t>
      </w:r>
    </w:p>
    <w:p w14:paraId="3EF07351">
      <w:pPr>
        <w:pStyle w:val="7"/>
        <w:numPr>
          <w:ilvl w:val="0"/>
          <w:numId w:val="30"/>
        </w:numPr>
        <w:spacing w:line="360" w:lineRule="auto"/>
        <w:ind w:leftChars="0"/>
        <w:contextualSpacing/>
        <w:rPr>
          <w:rFonts w:hint="eastAsia" w:ascii="宋体" w:hAnsi="宋体"/>
          <w:sz w:val="24"/>
        </w:rPr>
      </w:pPr>
      <w:r>
        <w:rPr>
          <w:rFonts w:hint="eastAsia" w:ascii="宋体" w:hAnsi="宋体"/>
          <w:sz w:val="24"/>
        </w:rPr>
        <w:t>低压开关柜的底板、框架和金属外壳等外露导体通过直接的，相互有效连接，或通过保护导体完成的相互有效连接以确保保护接地的连续性。部件进行直接的，相互有效连接以确保电路的连续性。</w:t>
      </w:r>
    </w:p>
    <w:p w14:paraId="4137330B">
      <w:pPr>
        <w:pStyle w:val="7"/>
        <w:numPr>
          <w:ilvl w:val="0"/>
          <w:numId w:val="30"/>
        </w:numPr>
        <w:spacing w:line="360" w:lineRule="auto"/>
        <w:ind w:leftChars="0"/>
        <w:contextualSpacing/>
        <w:rPr>
          <w:rFonts w:hint="eastAsia" w:ascii="宋体" w:hAnsi="宋体"/>
          <w:sz w:val="24"/>
        </w:rPr>
      </w:pPr>
      <w:r>
        <w:rPr>
          <w:rFonts w:hint="eastAsia" w:ascii="宋体" w:hAnsi="宋体"/>
          <w:sz w:val="24"/>
        </w:rPr>
        <w:t>保护接地端子具有清楚和永久性标志。</w:t>
      </w:r>
    </w:p>
    <w:p w14:paraId="6F50ACC4">
      <w:pPr>
        <w:pStyle w:val="7"/>
        <w:spacing w:line="360" w:lineRule="auto"/>
        <w:ind w:left="0" w:leftChars="0"/>
        <w:contextualSpacing/>
        <w:rPr>
          <w:rFonts w:hint="eastAsia" w:ascii="宋体" w:hAnsi="宋体"/>
          <w:sz w:val="24"/>
        </w:rPr>
      </w:pPr>
      <w:r>
        <w:rPr>
          <w:rFonts w:hint="eastAsia" w:ascii="宋体" w:hAnsi="宋体"/>
          <w:sz w:val="24"/>
          <w:lang w:val="en-US" w:eastAsia="zh-CN"/>
        </w:rPr>
        <w:t>4.2.3.4.</w:t>
      </w:r>
      <w:r>
        <w:rPr>
          <w:rFonts w:hint="eastAsia" w:hAnsi="宋体"/>
          <w:sz w:val="24"/>
          <w:lang w:val="en-US" w:eastAsia="zh-CN"/>
        </w:rPr>
        <w:t>7</w:t>
      </w:r>
      <w:r>
        <w:rPr>
          <w:rFonts w:hint="eastAsia" w:ascii="宋体" w:hAnsi="宋体"/>
          <w:sz w:val="24"/>
        </w:rPr>
        <w:t>开关柜的其它要求</w:t>
      </w:r>
    </w:p>
    <w:p w14:paraId="1B8B13F2">
      <w:pPr>
        <w:pStyle w:val="7"/>
        <w:numPr>
          <w:ilvl w:val="0"/>
          <w:numId w:val="30"/>
        </w:numPr>
        <w:spacing w:line="360" w:lineRule="auto"/>
        <w:ind w:leftChars="0"/>
        <w:contextualSpacing/>
        <w:rPr>
          <w:rFonts w:hint="eastAsia" w:ascii="宋体" w:hAnsi="宋体"/>
          <w:sz w:val="24"/>
        </w:rPr>
      </w:pPr>
      <w:r>
        <w:rPr>
          <w:rFonts w:hint="eastAsia" w:ascii="宋体" w:hAnsi="宋体"/>
          <w:sz w:val="24"/>
        </w:rPr>
        <w:t>投标方随开关柜提供可移动、可升降的搬运开关柜抽屉的小车。</w:t>
      </w:r>
    </w:p>
    <w:p w14:paraId="0B865E2B">
      <w:pPr>
        <w:numPr>
          <w:ilvl w:val="0"/>
          <w:numId w:val="30"/>
        </w:numPr>
        <w:adjustRightInd w:val="0"/>
        <w:snapToGrid w:val="0"/>
        <w:spacing w:line="360" w:lineRule="auto"/>
        <w:rPr>
          <w:rFonts w:hint="eastAsia" w:ascii="宋体" w:hAnsi="宋体"/>
          <w:sz w:val="24"/>
        </w:rPr>
      </w:pPr>
      <w:r>
        <w:rPr>
          <w:rFonts w:hint="eastAsia" w:ascii="宋体" w:hAnsi="宋体"/>
          <w:sz w:val="24"/>
        </w:rPr>
        <w:t>开关柜柜内导体及其他部件的温升符合国标《低压成套开关设备和控制设备》(GB7251)的规定。</w:t>
      </w:r>
    </w:p>
    <w:p w14:paraId="0879F276">
      <w:pPr>
        <w:numPr>
          <w:ilvl w:val="0"/>
          <w:numId w:val="30"/>
        </w:numPr>
        <w:adjustRightInd w:val="0"/>
        <w:snapToGrid w:val="0"/>
        <w:spacing w:line="360" w:lineRule="auto"/>
        <w:rPr>
          <w:rFonts w:hint="eastAsia" w:ascii="宋体" w:hAnsi="宋体"/>
          <w:sz w:val="24"/>
        </w:rPr>
      </w:pPr>
      <w:r>
        <w:rPr>
          <w:rFonts w:hint="eastAsia" w:ascii="宋体" w:hAnsi="宋体"/>
          <w:kern w:val="0"/>
          <w:sz w:val="24"/>
          <w:szCs w:val="20"/>
        </w:rPr>
        <w:t>电缆出入口应采取密封措施（加密封圈）。设备应保证任何一个分支回路故障，可不停主母线更换开关和元件，检修电缆。</w:t>
      </w:r>
    </w:p>
    <w:p w14:paraId="3F8C01CA">
      <w:pPr>
        <w:numPr>
          <w:ilvl w:val="0"/>
          <w:numId w:val="30"/>
        </w:numPr>
        <w:adjustRightInd w:val="0"/>
        <w:snapToGrid w:val="0"/>
        <w:spacing w:line="360" w:lineRule="auto"/>
        <w:rPr>
          <w:rFonts w:hint="eastAsia" w:ascii="宋体" w:hAnsi="宋体"/>
          <w:sz w:val="24"/>
        </w:rPr>
      </w:pPr>
      <w:r>
        <w:rPr>
          <w:rFonts w:hint="eastAsia" w:ascii="宋体" w:hAnsi="宋体"/>
          <w:sz w:val="24"/>
        </w:rPr>
        <w:t>开关柜的间隔在每个回路上框架正、反面、电缆室接电缆处及抽屉或分隔面板上分别设置标志牌，标志牌采用有机玻璃、刻有设备名称和断路器的编号。盘柜编号由招标方提供，投标方负责按招标方要求刻写。</w:t>
      </w:r>
    </w:p>
    <w:p w14:paraId="523493F3">
      <w:pPr>
        <w:pStyle w:val="7"/>
        <w:numPr>
          <w:ilvl w:val="0"/>
          <w:numId w:val="30"/>
        </w:numPr>
        <w:spacing w:line="360" w:lineRule="auto"/>
        <w:ind w:leftChars="0"/>
        <w:contextualSpacing/>
        <w:rPr>
          <w:rFonts w:ascii="宋体" w:hAnsi="宋体"/>
          <w:sz w:val="24"/>
        </w:rPr>
      </w:pPr>
      <w:r>
        <w:rPr>
          <w:rFonts w:hint="eastAsia" w:ascii="宋体" w:hAnsi="宋体"/>
          <w:sz w:val="24"/>
        </w:rPr>
        <w:t>每段开关柜设置贯穿整段配电装置全长的照明加热小母线。照明加热小母线为三相四线制，采用小铜棒，并由该段低压母线独立抽屉提供电源。</w:t>
      </w:r>
    </w:p>
    <w:p w14:paraId="310B421A">
      <w:pPr>
        <w:pStyle w:val="7"/>
        <w:numPr>
          <w:ilvl w:val="0"/>
          <w:numId w:val="30"/>
        </w:numPr>
        <w:spacing w:line="360" w:lineRule="auto"/>
        <w:ind w:leftChars="0"/>
        <w:contextualSpacing/>
        <w:rPr>
          <w:rFonts w:ascii="宋体" w:hAnsi="宋体"/>
          <w:sz w:val="24"/>
        </w:rPr>
      </w:pPr>
      <w:r>
        <w:rPr>
          <w:rFonts w:hint="eastAsia" w:ascii="宋体" w:hAnsi="宋体"/>
          <w:sz w:val="24"/>
        </w:rPr>
        <w:t>照明加热小母线的额定电流在设计联络会时确定。连接在照明加热小母线上的负荷尽可能的均匀布置，以保证照明加热小母线3相负荷的平衡。每一面开关柜均设置照明装置，每一照明装置设有独立的施耐德C65微型断路器,作为保护和操作设备，其电源由贯穿于整列柜的照明加热小母线供给。微型断路器的布置应不占用开关柜的抽屉回路。</w:t>
      </w:r>
    </w:p>
    <w:p w14:paraId="09CD2D37">
      <w:pPr>
        <w:pStyle w:val="7"/>
        <w:numPr>
          <w:ilvl w:val="0"/>
          <w:numId w:val="30"/>
        </w:numPr>
        <w:spacing w:line="360" w:lineRule="auto"/>
        <w:ind w:leftChars="0"/>
        <w:contextualSpacing/>
        <w:rPr>
          <w:rFonts w:hint="eastAsia" w:ascii="宋体" w:hAnsi="宋体"/>
          <w:sz w:val="24"/>
        </w:rPr>
      </w:pPr>
      <w:r>
        <w:rPr>
          <w:rFonts w:hint="eastAsia" w:ascii="宋体" w:hAnsi="宋体"/>
          <w:sz w:val="24"/>
        </w:rPr>
        <w:t>每面开关柜均提供温湿度控制器及由交流220V电源供电的柜内空间电加热器，加热器应有自己的安全防护罩，加热器安装在柜内既不会损坏设备又不会对人员构成危险的地方。加热器回路的短路保护设备、操作设备采用小型断路器，显示设备可为信号灯，信号灯为红色，灯亮表示“加热器工作”。电加热器的运行与停止由温湿度控制器控制。电加热器的电源由贯穿于整列柜的照明加热小母线供给。加热器回路的设备和接线由投标方提供，电加热器回路的布置不占用开关柜的抽屉，安装在投标方的工厂完成。</w:t>
      </w:r>
    </w:p>
    <w:p w14:paraId="3B2CB466">
      <w:pPr>
        <w:pStyle w:val="7"/>
        <w:numPr>
          <w:ilvl w:val="0"/>
          <w:numId w:val="30"/>
        </w:numPr>
        <w:spacing w:line="360" w:lineRule="auto"/>
        <w:ind w:leftChars="0"/>
        <w:contextualSpacing/>
        <w:rPr>
          <w:rFonts w:hint="eastAsia" w:ascii="宋体" w:hAnsi="宋体"/>
          <w:sz w:val="24"/>
        </w:rPr>
      </w:pPr>
      <w:r>
        <w:rPr>
          <w:rFonts w:hint="eastAsia" w:ascii="宋体" w:hAnsi="宋体"/>
          <w:sz w:val="24"/>
        </w:rPr>
        <w:t>断路器在单元隔室中应有接通，试验和断开位置（每个位置至少提供两付辅助触点，不允许通过中间继电器扩展）。断路器具有预储能操作系统。断路器在所有位置均可进行电气和机械自由脱扣。</w:t>
      </w:r>
    </w:p>
    <w:p w14:paraId="1DEC67BE">
      <w:pPr>
        <w:pStyle w:val="7"/>
        <w:numPr>
          <w:ilvl w:val="0"/>
          <w:numId w:val="30"/>
        </w:numPr>
        <w:spacing w:line="360" w:lineRule="auto"/>
        <w:ind w:leftChars="0"/>
        <w:contextualSpacing/>
        <w:rPr>
          <w:rFonts w:hint="eastAsia" w:ascii="宋体" w:hAnsi="宋体"/>
          <w:sz w:val="24"/>
        </w:rPr>
      </w:pPr>
      <w:r>
        <w:rPr>
          <w:rFonts w:hint="eastAsia" w:ascii="宋体" w:hAnsi="宋体"/>
          <w:sz w:val="24"/>
        </w:rPr>
        <w:t>所有同型号、同规格、同参数的断路器应能互换。所有断路器及其本体上的辅助开关，应采用完全相同的接线。</w:t>
      </w:r>
    </w:p>
    <w:p w14:paraId="516F56E7">
      <w:pPr>
        <w:pStyle w:val="7"/>
        <w:numPr>
          <w:ilvl w:val="0"/>
          <w:numId w:val="30"/>
        </w:numPr>
        <w:spacing w:line="360" w:lineRule="auto"/>
        <w:ind w:leftChars="0"/>
        <w:contextualSpacing/>
        <w:rPr>
          <w:rFonts w:hint="eastAsia" w:ascii="宋体" w:hAnsi="宋体"/>
          <w:sz w:val="24"/>
        </w:rPr>
      </w:pPr>
      <w:r>
        <w:rPr>
          <w:rFonts w:hint="eastAsia" w:ascii="宋体" w:hAnsi="宋体"/>
          <w:sz w:val="24"/>
        </w:rPr>
        <w:t>应提供合适的机构，以保证在抽出或替换断路器时，其一次和二次隔离触头完全断开或接通。</w:t>
      </w:r>
    </w:p>
    <w:p w14:paraId="549DEF21">
      <w:pPr>
        <w:pStyle w:val="7"/>
        <w:numPr>
          <w:ilvl w:val="0"/>
          <w:numId w:val="30"/>
        </w:numPr>
        <w:spacing w:line="360" w:lineRule="auto"/>
        <w:ind w:leftChars="0"/>
        <w:contextualSpacing/>
        <w:rPr>
          <w:rFonts w:hint="eastAsia" w:ascii="宋体" w:hAnsi="宋体"/>
          <w:sz w:val="24"/>
        </w:rPr>
      </w:pPr>
      <w:r>
        <w:rPr>
          <w:rFonts w:hint="eastAsia" w:ascii="宋体" w:hAnsi="宋体"/>
          <w:sz w:val="24"/>
        </w:rPr>
        <w:t>应提供适当的导轨，以便容易移动和插入可移动的断路器单元。并应提供止挡或指示器以精确定位在“接通”和“试验”位置。</w:t>
      </w:r>
    </w:p>
    <w:p w14:paraId="2AD4A819">
      <w:pPr>
        <w:pStyle w:val="7"/>
        <w:numPr>
          <w:ilvl w:val="0"/>
          <w:numId w:val="30"/>
        </w:numPr>
        <w:spacing w:line="360" w:lineRule="auto"/>
        <w:ind w:leftChars="0"/>
        <w:contextualSpacing/>
        <w:rPr>
          <w:rFonts w:hint="eastAsia" w:ascii="宋体" w:hAnsi="宋体"/>
          <w:sz w:val="24"/>
        </w:rPr>
      </w:pPr>
      <w:r>
        <w:rPr>
          <w:rFonts w:hint="eastAsia" w:ascii="宋体" w:hAnsi="宋体"/>
          <w:sz w:val="24"/>
        </w:rPr>
        <w:t>在一次隔离触头接通前，断路器的框架为可靠接地，并且断路器在运行位置以及一次隔离触头分开一个安全距离以前的所有其他位置，其框架都保持可靠接地。</w:t>
      </w:r>
    </w:p>
    <w:p w14:paraId="1CCB600E">
      <w:pPr>
        <w:pStyle w:val="7"/>
        <w:numPr>
          <w:ilvl w:val="0"/>
          <w:numId w:val="30"/>
        </w:numPr>
        <w:spacing w:line="360" w:lineRule="auto"/>
        <w:ind w:leftChars="0"/>
        <w:contextualSpacing/>
        <w:rPr>
          <w:rFonts w:hint="eastAsia" w:ascii="宋体" w:hAnsi="宋体"/>
          <w:sz w:val="24"/>
        </w:rPr>
      </w:pPr>
      <w:r>
        <w:rPr>
          <w:rFonts w:hint="eastAsia" w:ascii="宋体" w:hAnsi="宋体"/>
          <w:sz w:val="24"/>
        </w:rPr>
        <w:t>当断路器处于试验位置时，控制回路应允许就地操作。</w:t>
      </w:r>
    </w:p>
    <w:p w14:paraId="61458EA4">
      <w:pPr>
        <w:pStyle w:val="7"/>
        <w:numPr>
          <w:ilvl w:val="0"/>
          <w:numId w:val="30"/>
        </w:numPr>
        <w:spacing w:line="360" w:lineRule="auto"/>
        <w:ind w:leftChars="0"/>
        <w:contextualSpacing/>
        <w:rPr>
          <w:rFonts w:hint="eastAsia" w:ascii="宋体" w:hAnsi="宋体"/>
          <w:sz w:val="24"/>
        </w:rPr>
      </w:pPr>
      <w:r>
        <w:rPr>
          <w:rFonts w:hint="eastAsia" w:ascii="宋体" w:hAnsi="宋体"/>
          <w:sz w:val="24"/>
        </w:rPr>
        <w:t>当断路器处于试验或隔离位置时，断路器的远方操作回路应断开。</w:t>
      </w:r>
    </w:p>
    <w:p w14:paraId="78DA9447">
      <w:pPr>
        <w:pStyle w:val="7"/>
        <w:numPr>
          <w:ilvl w:val="0"/>
          <w:numId w:val="30"/>
        </w:numPr>
        <w:spacing w:line="360" w:lineRule="auto"/>
        <w:ind w:leftChars="0"/>
        <w:contextualSpacing/>
        <w:rPr>
          <w:rFonts w:hint="eastAsia" w:ascii="宋体" w:hAnsi="宋体"/>
          <w:sz w:val="24"/>
        </w:rPr>
      </w:pPr>
      <w:r>
        <w:rPr>
          <w:rFonts w:hint="eastAsia" w:ascii="宋体" w:hAnsi="宋体"/>
          <w:sz w:val="24"/>
        </w:rPr>
        <w:t>对塑壳断路器操作手柄，应在抽出单元门关闭的情况下清晰地显示断路器是在合、分位置，并能在抽出单元门外操作断路器。</w:t>
      </w:r>
    </w:p>
    <w:p w14:paraId="4786048E">
      <w:pPr>
        <w:pStyle w:val="7"/>
        <w:numPr>
          <w:ilvl w:val="0"/>
          <w:numId w:val="31"/>
        </w:numPr>
        <w:spacing w:line="360" w:lineRule="auto"/>
        <w:ind w:leftChars="0"/>
        <w:contextualSpacing/>
        <w:rPr>
          <w:rFonts w:hint="eastAsia" w:ascii="宋体" w:hAnsi="宋体"/>
          <w:sz w:val="24"/>
        </w:rPr>
      </w:pPr>
      <w:r>
        <w:rPr>
          <w:rFonts w:hint="eastAsia" w:ascii="宋体" w:hAnsi="宋体"/>
          <w:sz w:val="24"/>
        </w:rPr>
        <w:t>交流接触器至少</w:t>
      </w:r>
      <w:r>
        <w:rPr>
          <w:rFonts w:ascii="宋体" w:hAnsi="宋体"/>
          <w:sz w:val="24"/>
        </w:rPr>
        <w:t>有</w:t>
      </w:r>
      <w:r>
        <w:rPr>
          <w:rFonts w:hint="eastAsia" w:ascii="宋体" w:hAnsi="宋体"/>
          <w:sz w:val="24"/>
        </w:rPr>
        <w:t>6</w:t>
      </w:r>
      <w:r>
        <w:rPr>
          <w:rFonts w:ascii="宋体" w:hAnsi="宋体"/>
          <w:sz w:val="24"/>
        </w:rPr>
        <w:t>开</w:t>
      </w:r>
      <w:r>
        <w:rPr>
          <w:rFonts w:hint="eastAsia" w:ascii="宋体" w:hAnsi="宋体"/>
          <w:sz w:val="24"/>
        </w:rPr>
        <w:t>6</w:t>
      </w:r>
      <w:r>
        <w:rPr>
          <w:rFonts w:ascii="宋体" w:hAnsi="宋体"/>
          <w:sz w:val="24"/>
        </w:rPr>
        <w:t>闭反映</w:t>
      </w:r>
      <w:r>
        <w:rPr>
          <w:rFonts w:hint="eastAsia" w:ascii="宋体" w:hAnsi="宋体"/>
          <w:sz w:val="24"/>
        </w:rPr>
        <w:t>接触器</w:t>
      </w:r>
      <w:r>
        <w:rPr>
          <w:rFonts w:ascii="宋体" w:hAnsi="宋体"/>
          <w:sz w:val="24"/>
        </w:rPr>
        <w:t>合</w:t>
      </w:r>
      <w:r>
        <w:rPr>
          <w:rFonts w:hint="eastAsia" w:ascii="宋体" w:hAnsi="宋体"/>
          <w:sz w:val="24"/>
        </w:rPr>
        <w:t>分</w:t>
      </w:r>
      <w:r>
        <w:rPr>
          <w:rFonts w:ascii="宋体" w:hAnsi="宋体"/>
          <w:sz w:val="24"/>
        </w:rPr>
        <w:t>闸状态的辅助接点</w:t>
      </w:r>
      <w:r>
        <w:rPr>
          <w:rFonts w:hint="eastAsia" w:ascii="宋体" w:hAnsi="宋体"/>
          <w:sz w:val="24"/>
        </w:rPr>
        <w:t>（不允许通过中间继电器扩展）。</w:t>
      </w:r>
    </w:p>
    <w:p w14:paraId="34D1131B">
      <w:pPr>
        <w:pStyle w:val="7"/>
        <w:numPr>
          <w:ilvl w:val="0"/>
          <w:numId w:val="31"/>
        </w:numPr>
        <w:spacing w:line="360" w:lineRule="auto"/>
        <w:ind w:leftChars="0"/>
        <w:contextualSpacing/>
        <w:rPr>
          <w:rFonts w:hint="eastAsia" w:ascii="宋体" w:hAnsi="宋体"/>
          <w:sz w:val="24"/>
        </w:rPr>
      </w:pPr>
      <w:r>
        <w:rPr>
          <w:rFonts w:hint="eastAsia" w:ascii="宋体" w:hAnsi="宋体"/>
          <w:sz w:val="24"/>
        </w:rPr>
        <w:t>功能单元抽屉与母线的接插件应选用接触良好，适于频繁抽出、性能优良的产品。二次隔离元件应选用航空隔离插头。</w:t>
      </w:r>
      <w:r>
        <w:rPr>
          <w:rFonts w:ascii="宋体" w:hAnsi="宋体"/>
          <w:sz w:val="24"/>
        </w:rPr>
        <w:t>抽屉单元二次插头为开关柜专用可靠的插拔式插接件，芯数完全满足本技术条件书附图的要求，且不少于24芯，单元内端子排均预留有20％的备用端子。</w:t>
      </w:r>
    </w:p>
    <w:p w14:paraId="469BF18D">
      <w:pPr>
        <w:pStyle w:val="7"/>
        <w:numPr>
          <w:ilvl w:val="0"/>
          <w:numId w:val="31"/>
        </w:numPr>
        <w:spacing w:line="360" w:lineRule="auto"/>
        <w:ind w:leftChars="0"/>
        <w:contextualSpacing/>
        <w:rPr>
          <w:rFonts w:hint="eastAsia" w:ascii="宋体" w:hAnsi="宋体"/>
          <w:sz w:val="24"/>
        </w:rPr>
      </w:pPr>
      <w:r>
        <w:rPr>
          <w:rFonts w:hint="eastAsia" w:ascii="宋体" w:hAnsi="宋体"/>
          <w:sz w:val="24"/>
        </w:rPr>
        <w:t>装于柜体上的继电器，应能防止断路器或其他电器设备正常操作振动而误动作。</w:t>
      </w:r>
    </w:p>
    <w:p w14:paraId="60F6CBAF">
      <w:pPr>
        <w:pStyle w:val="7"/>
        <w:numPr>
          <w:ilvl w:val="0"/>
          <w:numId w:val="31"/>
        </w:numPr>
        <w:spacing w:line="360" w:lineRule="auto"/>
        <w:ind w:leftChars="0"/>
        <w:contextualSpacing/>
        <w:rPr>
          <w:rFonts w:ascii="宋体" w:hAnsi="宋体"/>
          <w:sz w:val="24"/>
        </w:rPr>
      </w:pPr>
      <w:r>
        <w:rPr>
          <w:rFonts w:hint="eastAsia" w:ascii="宋体" w:hAnsi="宋体"/>
          <w:sz w:val="24"/>
        </w:rPr>
        <w:t xml:space="preserve">装在开关柜内的所有元件，应选择专业制造厂家的产品，对强制认证的元件应具有3C认证标志。 </w:t>
      </w:r>
    </w:p>
    <w:p w14:paraId="529CD2DE">
      <w:pPr>
        <w:pStyle w:val="7"/>
        <w:numPr>
          <w:ilvl w:val="0"/>
          <w:numId w:val="31"/>
        </w:numPr>
        <w:spacing w:line="360" w:lineRule="auto"/>
        <w:ind w:leftChars="0"/>
        <w:contextualSpacing/>
        <w:rPr>
          <w:rFonts w:ascii="宋体" w:hAnsi="宋体"/>
          <w:sz w:val="24"/>
        </w:rPr>
      </w:pPr>
      <w:r>
        <w:rPr>
          <w:rFonts w:hint="eastAsia" w:ascii="宋体" w:hAnsi="宋体"/>
          <w:sz w:val="24"/>
        </w:rPr>
        <w:t>低压母线穿出开关柜及穿入变压器柜处设置保护套管，开关柜内保护套管由投标方供货，投标方负责就保护套管的尺寸、外形、安装位置与变压器厂配合。</w:t>
      </w:r>
    </w:p>
    <w:p w14:paraId="796B0ECB">
      <w:pPr>
        <w:pStyle w:val="7"/>
        <w:numPr>
          <w:ilvl w:val="0"/>
          <w:numId w:val="31"/>
        </w:numPr>
        <w:spacing w:line="360" w:lineRule="auto"/>
        <w:ind w:leftChars="0"/>
        <w:contextualSpacing/>
        <w:rPr>
          <w:rFonts w:ascii="宋体" w:hAnsi="宋体"/>
          <w:sz w:val="24"/>
        </w:rPr>
      </w:pPr>
      <w:r>
        <w:rPr>
          <w:rFonts w:hint="eastAsia" w:ascii="宋体" w:hAnsi="宋体"/>
          <w:sz w:val="24"/>
        </w:rPr>
        <w:t>开关柜的工作母线、中性母线、接地保护母线需与变压器柜内的低压出线母排端口、中性母线、接地保护母线对应连接。</w:t>
      </w:r>
    </w:p>
    <w:p w14:paraId="64B39269">
      <w:pPr>
        <w:pStyle w:val="7"/>
        <w:numPr>
          <w:ilvl w:val="0"/>
          <w:numId w:val="31"/>
        </w:numPr>
        <w:spacing w:line="360" w:lineRule="auto"/>
        <w:ind w:leftChars="0"/>
        <w:contextualSpacing/>
        <w:rPr>
          <w:rFonts w:ascii="宋体" w:hAnsi="宋体"/>
          <w:sz w:val="24"/>
        </w:rPr>
      </w:pPr>
      <w:r>
        <w:rPr>
          <w:rFonts w:hint="eastAsia" w:ascii="宋体" w:hAnsi="宋体"/>
          <w:sz w:val="24"/>
        </w:rPr>
        <w:t>投标方与干式变压器供货商就变压器安装、各个母线的连接等问题进行配合，负责完成开关柜与干式变压器组柜、安装等一系列工作。</w:t>
      </w:r>
    </w:p>
    <w:p w14:paraId="7433D559">
      <w:pPr>
        <w:pStyle w:val="7"/>
        <w:numPr>
          <w:ilvl w:val="0"/>
          <w:numId w:val="31"/>
        </w:numPr>
        <w:spacing w:line="360" w:lineRule="auto"/>
        <w:ind w:leftChars="0"/>
        <w:contextualSpacing/>
        <w:rPr>
          <w:rFonts w:hint="eastAsia" w:ascii="宋体" w:hAnsi="宋体"/>
          <w:sz w:val="24"/>
        </w:rPr>
      </w:pPr>
      <w:r>
        <w:rPr>
          <w:rFonts w:hint="eastAsia" w:ascii="宋体" w:hAnsi="宋体"/>
          <w:sz w:val="24"/>
        </w:rPr>
        <w:t>投标方负责其供货范围内的现场安装、调试、试验及交接工作。</w:t>
      </w:r>
    </w:p>
    <w:p w14:paraId="299EAA0F">
      <w:pPr>
        <w:pStyle w:val="7"/>
        <w:spacing w:line="360" w:lineRule="auto"/>
        <w:ind w:left="0" w:leftChars="0"/>
        <w:contextualSpacing/>
        <w:rPr>
          <w:rFonts w:hint="eastAsia" w:ascii="宋体" w:hAnsi="宋体"/>
          <w:sz w:val="24"/>
        </w:rPr>
      </w:pPr>
      <w:r>
        <w:rPr>
          <w:rFonts w:hint="eastAsia" w:ascii="宋体" w:hAnsi="宋体"/>
          <w:sz w:val="24"/>
          <w:lang w:val="en-US" w:eastAsia="zh-CN"/>
        </w:rPr>
        <w:t>4.2.3.4.</w:t>
      </w:r>
      <w:r>
        <w:rPr>
          <w:rFonts w:hint="eastAsia" w:hAnsi="宋体"/>
          <w:sz w:val="24"/>
          <w:lang w:val="en-US" w:eastAsia="zh-CN"/>
        </w:rPr>
        <w:t>8</w:t>
      </w:r>
      <w:r>
        <w:rPr>
          <w:rFonts w:hint="eastAsia" w:ascii="宋体" w:hAnsi="宋体"/>
          <w:sz w:val="24"/>
        </w:rPr>
        <w:t xml:space="preserve"> 其他元件选型</w:t>
      </w:r>
    </w:p>
    <w:p w14:paraId="1BAC8FD4">
      <w:pPr>
        <w:pStyle w:val="12"/>
        <w:numPr>
          <w:ilvl w:val="0"/>
          <w:numId w:val="32"/>
        </w:numPr>
        <w:tabs>
          <w:tab w:val="left" w:pos="0"/>
          <w:tab w:val="left" w:pos="3969"/>
          <w:tab w:val="left" w:pos="6663"/>
          <w:tab w:val="left" w:pos="7938"/>
          <w:tab w:val="clear" w:pos="737"/>
        </w:tabs>
        <w:spacing w:line="500" w:lineRule="atLeast"/>
        <w:rPr>
          <w:rFonts w:hint="eastAsia" w:ascii="宋体" w:hAnsi="宋体"/>
          <w:kern w:val="2"/>
          <w:szCs w:val="24"/>
        </w:rPr>
      </w:pPr>
      <w:r>
        <w:rPr>
          <w:rFonts w:hint="eastAsia" w:ascii="宋体" w:hAnsi="宋体"/>
          <w:kern w:val="2"/>
          <w:szCs w:val="24"/>
        </w:rPr>
        <w:t>电流互感器、电压互感器采用大连第一互感器有限责任公司、天津百利纽泰克电气科技有限公司、大连第二互感器有限责任公司。</w:t>
      </w:r>
    </w:p>
    <w:p w14:paraId="4E9688F7">
      <w:pPr>
        <w:pStyle w:val="12"/>
        <w:numPr>
          <w:ilvl w:val="0"/>
          <w:numId w:val="32"/>
        </w:numPr>
        <w:tabs>
          <w:tab w:val="left" w:pos="0"/>
          <w:tab w:val="left" w:pos="3969"/>
          <w:tab w:val="left" w:pos="6663"/>
          <w:tab w:val="left" w:pos="7938"/>
          <w:tab w:val="clear" w:pos="737"/>
        </w:tabs>
        <w:spacing w:line="500" w:lineRule="atLeast"/>
        <w:rPr>
          <w:rFonts w:hint="eastAsia" w:ascii="宋体" w:hAnsi="宋体"/>
          <w:kern w:val="2"/>
          <w:szCs w:val="24"/>
        </w:rPr>
      </w:pPr>
      <w:r>
        <w:rPr>
          <w:rFonts w:hint="eastAsia" w:ascii="宋体" w:hAnsi="宋体"/>
          <w:kern w:val="2"/>
          <w:szCs w:val="24"/>
        </w:rPr>
        <w:t xml:space="preserve">开关柜内各个控制及显示元件如：选择开关、按纽、指示灯等应选用施耐德或APT的优质产品,继电器等应选用江阴新长江继电有限公司的优质产品， </w:t>
      </w:r>
    </w:p>
    <w:p w14:paraId="73CA0135">
      <w:pPr>
        <w:pStyle w:val="7"/>
        <w:spacing w:line="360" w:lineRule="auto"/>
        <w:ind w:left="0" w:leftChars="0"/>
        <w:contextualSpacing/>
        <w:rPr>
          <w:rFonts w:hint="eastAsia" w:ascii="宋体" w:hAnsi="宋体"/>
          <w:sz w:val="24"/>
        </w:rPr>
      </w:pPr>
      <w:r>
        <w:rPr>
          <w:rFonts w:hint="eastAsia" w:ascii="宋体" w:hAnsi="宋体"/>
          <w:sz w:val="24"/>
          <w:lang w:val="en-US" w:eastAsia="zh-CN"/>
        </w:rPr>
        <w:t>4.2.3.</w:t>
      </w:r>
      <w:r>
        <w:rPr>
          <w:rFonts w:hint="eastAsia" w:hAnsi="宋体"/>
          <w:sz w:val="24"/>
          <w:lang w:val="en-US" w:eastAsia="zh-CN"/>
        </w:rPr>
        <w:t>5</w:t>
      </w:r>
      <w:r>
        <w:rPr>
          <w:rFonts w:hint="eastAsia" w:ascii="宋体" w:hAnsi="宋体"/>
          <w:sz w:val="24"/>
        </w:rPr>
        <w:t xml:space="preserve"> 二次线</w:t>
      </w:r>
    </w:p>
    <w:p w14:paraId="6A6E82A3">
      <w:pPr>
        <w:pStyle w:val="7"/>
        <w:numPr>
          <w:ilvl w:val="0"/>
          <w:numId w:val="31"/>
        </w:numPr>
        <w:spacing w:line="360" w:lineRule="auto"/>
        <w:ind w:leftChars="0"/>
        <w:contextualSpacing/>
        <w:rPr>
          <w:rFonts w:ascii="宋体" w:hAnsi="宋体"/>
          <w:sz w:val="24"/>
        </w:rPr>
      </w:pPr>
      <w:r>
        <w:rPr>
          <w:rFonts w:ascii="宋体" w:hAnsi="宋体"/>
          <w:sz w:val="24"/>
        </w:rPr>
        <w:t>继电器</w:t>
      </w:r>
      <w:r>
        <w:rPr>
          <w:rFonts w:hint="eastAsia" w:ascii="宋体" w:hAnsi="宋体"/>
          <w:sz w:val="24"/>
        </w:rPr>
        <w:t>不</w:t>
      </w:r>
      <w:r>
        <w:rPr>
          <w:rFonts w:ascii="宋体" w:hAnsi="宋体"/>
          <w:sz w:val="24"/>
        </w:rPr>
        <w:t>能布置在当柜门关闭或打开</w:t>
      </w:r>
      <w:r>
        <w:rPr>
          <w:rFonts w:hint="eastAsia" w:ascii="宋体" w:hAnsi="宋体"/>
          <w:sz w:val="24"/>
        </w:rPr>
        <w:t>及抽屉抽出或推进</w:t>
      </w:r>
      <w:r>
        <w:rPr>
          <w:rFonts w:ascii="宋体" w:hAnsi="宋体"/>
          <w:sz w:val="24"/>
        </w:rPr>
        <w:t>时将引起误动(引起合闸或跳闸)的地方。</w:t>
      </w:r>
    </w:p>
    <w:p w14:paraId="0A48A919">
      <w:pPr>
        <w:pStyle w:val="7"/>
        <w:numPr>
          <w:ilvl w:val="0"/>
          <w:numId w:val="31"/>
        </w:numPr>
        <w:spacing w:line="360" w:lineRule="auto"/>
        <w:ind w:leftChars="0"/>
        <w:contextualSpacing/>
        <w:rPr>
          <w:rFonts w:hint="eastAsia" w:ascii="宋体" w:hAnsi="宋体"/>
          <w:sz w:val="24"/>
        </w:rPr>
      </w:pPr>
      <w:r>
        <w:rPr>
          <w:rFonts w:hint="eastAsia" w:ascii="宋体" w:hAnsi="宋体"/>
          <w:sz w:val="24"/>
        </w:rPr>
        <w:t>所有元件外接引线均应经端子排接入或引出。所有端子采用菲尼克斯UT系列，端子额定电流应不小于25A、500V，均为螺栓型，带有弹簧压板、隔板和标志排。开关柜金属分隔间隔及抽屉单元内的每组端子排应留有不少于总数的20％的备用端子。每个端子排对内及对外原则上只接一芯导线（电缆）。</w:t>
      </w:r>
      <w:r>
        <w:rPr>
          <w:rFonts w:ascii="宋体" w:hAnsi="宋体"/>
          <w:sz w:val="24"/>
        </w:rPr>
        <w:t>每个端子排将标有编号。</w:t>
      </w:r>
      <w:r>
        <w:rPr>
          <w:rFonts w:hint="eastAsia" w:ascii="宋体" w:hAnsi="宋体"/>
          <w:sz w:val="24"/>
        </w:rPr>
        <w:t>交直流端子应分区布置。所有端子应按设计单位施工图排列布置。</w:t>
      </w:r>
    </w:p>
    <w:p w14:paraId="15791B84">
      <w:pPr>
        <w:pStyle w:val="7"/>
        <w:numPr>
          <w:ilvl w:val="0"/>
          <w:numId w:val="31"/>
        </w:numPr>
        <w:spacing w:line="360" w:lineRule="auto"/>
        <w:ind w:leftChars="0"/>
        <w:contextualSpacing/>
        <w:rPr>
          <w:rFonts w:ascii="宋体" w:hAnsi="宋体"/>
          <w:sz w:val="24"/>
        </w:rPr>
      </w:pPr>
      <w:r>
        <w:rPr>
          <w:rFonts w:ascii="宋体" w:hAnsi="宋体"/>
          <w:sz w:val="24"/>
        </w:rPr>
        <w:t>对于</w:t>
      </w:r>
      <w:r>
        <w:rPr>
          <w:rFonts w:hint="eastAsia" w:ascii="宋体" w:hAnsi="宋体"/>
          <w:sz w:val="24"/>
        </w:rPr>
        <w:t>CT</w:t>
      </w:r>
      <w:r>
        <w:rPr>
          <w:rFonts w:ascii="宋体" w:hAnsi="宋体"/>
          <w:sz w:val="24"/>
        </w:rPr>
        <w:t>交流电流端子</w:t>
      </w:r>
      <w:r>
        <w:rPr>
          <w:rFonts w:hint="eastAsia" w:ascii="宋体" w:hAnsi="宋体"/>
          <w:sz w:val="24"/>
        </w:rPr>
        <w:t>、PT</w:t>
      </w:r>
      <w:r>
        <w:rPr>
          <w:rFonts w:ascii="宋体" w:hAnsi="宋体"/>
          <w:sz w:val="24"/>
        </w:rPr>
        <w:t>交流电压</w:t>
      </w:r>
      <w:r>
        <w:rPr>
          <w:rFonts w:hint="eastAsia" w:ascii="宋体" w:hAnsi="宋体"/>
          <w:sz w:val="24"/>
        </w:rPr>
        <w:t>空开前后端</w:t>
      </w:r>
      <w:r>
        <w:rPr>
          <w:rFonts w:ascii="宋体" w:hAnsi="宋体"/>
          <w:sz w:val="24"/>
        </w:rPr>
        <w:t>端子</w:t>
      </w:r>
      <w:r>
        <w:rPr>
          <w:rFonts w:hint="eastAsia" w:ascii="宋体" w:hAnsi="宋体"/>
          <w:sz w:val="24"/>
        </w:rPr>
        <w:t>应</w:t>
      </w:r>
      <w:r>
        <w:rPr>
          <w:rFonts w:ascii="宋体" w:hAnsi="宋体"/>
          <w:sz w:val="24"/>
        </w:rPr>
        <w:t>设计成</w:t>
      </w:r>
      <w:r>
        <w:rPr>
          <w:rFonts w:hint="eastAsia" w:ascii="宋体" w:hAnsi="宋体"/>
          <w:sz w:val="24"/>
        </w:rPr>
        <w:t>可</w:t>
      </w:r>
      <w:r>
        <w:rPr>
          <w:rFonts w:ascii="宋体" w:hAnsi="宋体"/>
          <w:sz w:val="24"/>
        </w:rPr>
        <w:t>短接型的</w:t>
      </w:r>
      <w:r>
        <w:rPr>
          <w:rFonts w:hint="eastAsia" w:ascii="宋体" w:hAnsi="宋体"/>
          <w:sz w:val="24"/>
        </w:rPr>
        <w:t>试验端子</w:t>
      </w:r>
      <w:r>
        <w:rPr>
          <w:rFonts w:ascii="宋体" w:hAnsi="宋体"/>
          <w:sz w:val="24"/>
        </w:rPr>
        <w:t>，以便当校验或检修继电器或仪表时保护CT。</w:t>
      </w:r>
    </w:p>
    <w:p w14:paraId="6BA1C331">
      <w:pPr>
        <w:pStyle w:val="7"/>
        <w:numPr>
          <w:ilvl w:val="0"/>
          <w:numId w:val="31"/>
        </w:numPr>
        <w:spacing w:line="360" w:lineRule="auto"/>
        <w:ind w:leftChars="0"/>
        <w:contextualSpacing/>
        <w:rPr>
          <w:rFonts w:ascii="宋体" w:hAnsi="宋体"/>
          <w:sz w:val="24"/>
        </w:rPr>
      </w:pPr>
      <w:r>
        <w:rPr>
          <w:rFonts w:ascii="宋体" w:hAnsi="宋体"/>
          <w:sz w:val="24"/>
        </w:rPr>
        <w:t>不需外部连接的电流和电压互感器的二次回路在电源侧应接地。需要接地的每一回路将单独地连接到设备接地母线上。</w:t>
      </w:r>
    </w:p>
    <w:p w14:paraId="58710EF5">
      <w:pPr>
        <w:pStyle w:val="7"/>
        <w:numPr>
          <w:ilvl w:val="0"/>
          <w:numId w:val="31"/>
        </w:numPr>
        <w:spacing w:line="360" w:lineRule="auto"/>
        <w:ind w:leftChars="0"/>
        <w:contextualSpacing/>
        <w:rPr>
          <w:rFonts w:hint="eastAsia" w:ascii="宋体" w:hAnsi="宋体"/>
          <w:sz w:val="24"/>
        </w:rPr>
      </w:pPr>
      <w:r>
        <w:rPr>
          <w:rFonts w:hint="eastAsia" w:ascii="宋体" w:hAnsi="宋体"/>
          <w:sz w:val="24"/>
        </w:rPr>
        <w:t>控制导线采用铜导线，截面不小于1.5mm</w:t>
      </w:r>
      <w:r>
        <w:rPr>
          <w:rFonts w:hint="eastAsia" w:ascii="宋体" w:hAnsi="宋体"/>
          <w:sz w:val="24"/>
          <w:vertAlign w:val="superscript"/>
        </w:rPr>
        <w:t>2</w:t>
      </w:r>
      <w:r>
        <w:rPr>
          <w:rFonts w:hint="eastAsia" w:ascii="宋体" w:hAnsi="宋体"/>
          <w:sz w:val="24"/>
        </w:rPr>
        <w:t>，用于电流互感器、电压互感器的单线截面不小于4mm</w:t>
      </w:r>
      <w:r>
        <w:rPr>
          <w:rFonts w:hint="eastAsia" w:ascii="宋体" w:hAnsi="宋体"/>
          <w:sz w:val="24"/>
          <w:vertAlign w:val="superscript"/>
        </w:rPr>
        <w:t>2</w:t>
      </w:r>
      <w:r>
        <w:rPr>
          <w:rFonts w:hint="eastAsia" w:ascii="宋体" w:hAnsi="宋体"/>
          <w:sz w:val="24"/>
        </w:rPr>
        <w:t>。单线为阻燃交联聚氯乙烯绝缘单芯导线，额定电压不低于500V。交、直流回路的导线不应同束捆扎，弱电或通信回路应采用屏蔽导线连接。</w:t>
      </w:r>
    </w:p>
    <w:p w14:paraId="7651A6E4">
      <w:pPr>
        <w:pStyle w:val="7"/>
        <w:numPr>
          <w:ilvl w:val="0"/>
          <w:numId w:val="31"/>
        </w:numPr>
        <w:spacing w:line="360" w:lineRule="auto"/>
        <w:ind w:leftChars="0"/>
        <w:contextualSpacing/>
        <w:rPr>
          <w:rFonts w:ascii="宋体" w:hAnsi="宋体"/>
          <w:sz w:val="24"/>
        </w:rPr>
      </w:pPr>
      <w:r>
        <w:rPr>
          <w:rFonts w:hint="eastAsia" w:ascii="宋体" w:hAnsi="宋体"/>
          <w:sz w:val="24"/>
        </w:rPr>
        <w:t>每一个断路器、接触器的合闸、跳闸(控制)回路除交流操作的中性线外，均应设置断路器作保护，柜内交流操作的中性线应引自本柜中性线母线，规范详见设计单位施工图。</w:t>
      </w:r>
    </w:p>
    <w:p w14:paraId="4990A15F">
      <w:pPr>
        <w:pStyle w:val="7"/>
        <w:numPr>
          <w:ilvl w:val="0"/>
          <w:numId w:val="31"/>
        </w:numPr>
        <w:spacing w:line="360" w:lineRule="auto"/>
        <w:ind w:leftChars="0"/>
        <w:contextualSpacing/>
        <w:rPr>
          <w:rFonts w:ascii="宋体" w:hAnsi="宋体"/>
          <w:sz w:val="24"/>
        </w:rPr>
      </w:pPr>
      <w:r>
        <w:rPr>
          <w:rFonts w:ascii="宋体" w:hAnsi="宋体"/>
          <w:sz w:val="24"/>
        </w:rPr>
        <w:t>如果某些布线的突然短路会引起设备误动，如引起开关的误合闸或误跳闸，则这些布线就不能连接在相邻的端子上。</w:t>
      </w:r>
    </w:p>
    <w:p w14:paraId="69D323EA">
      <w:pPr>
        <w:pStyle w:val="7"/>
        <w:numPr>
          <w:ilvl w:val="0"/>
          <w:numId w:val="31"/>
        </w:numPr>
        <w:spacing w:line="360" w:lineRule="auto"/>
        <w:ind w:leftChars="0"/>
        <w:contextualSpacing/>
        <w:rPr>
          <w:rFonts w:hint="eastAsia" w:ascii="宋体" w:hAnsi="宋体"/>
          <w:sz w:val="24"/>
        </w:rPr>
      </w:pPr>
      <w:r>
        <w:rPr>
          <w:rFonts w:ascii="宋体" w:hAnsi="宋体"/>
          <w:sz w:val="24"/>
        </w:rPr>
        <w:t>导线的两端有擦不掉的、符合布线图的命名的永久性的标志。导线任何的连接部分不能焊接。</w:t>
      </w:r>
    </w:p>
    <w:p w14:paraId="3B7E9AD0">
      <w:pPr>
        <w:pStyle w:val="7"/>
        <w:numPr>
          <w:ilvl w:val="0"/>
          <w:numId w:val="31"/>
        </w:numPr>
        <w:spacing w:line="360" w:lineRule="auto"/>
        <w:ind w:leftChars="0"/>
        <w:contextualSpacing/>
        <w:rPr>
          <w:rFonts w:hint="eastAsia" w:ascii="宋体" w:hAnsi="宋体"/>
          <w:sz w:val="24"/>
        </w:rPr>
      </w:pPr>
      <w:r>
        <w:rPr>
          <w:rFonts w:hint="eastAsia" w:ascii="宋体" w:hAnsi="宋体"/>
          <w:sz w:val="24"/>
        </w:rPr>
        <w:t>对于电源回路框架断路器应提供抽屉“工作位置”和“试验位置”限位开关常开接点至少3付，供招标方使用。</w:t>
      </w:r>
    </w:p>
    <w:p w14:paraId="4813984F">
      <w:pPr>
        <w:pStyle w:val="7"/>
        <w:numPr>
          <w:ilvl w:val="0"/>
          <w:numId w:val="31"/>
        </w:numPr>
        <w:spacing w:line="360" w:lineRule="auto"/>
        <w:ind w:leftChars="0"/>
        <w:contextualSpacing/>
        <w:rPr>
          <w:rFonts w:hint="eastAsia" w:ascii="宋体" w:hAnsi="宋体"/>
          <w:sz w:val="24"/>
        </w:rPr>
      </w:pPr>
      <w:r>
        <w:rPr>
          <w:rFonts w:hint="eastAsia" w:ascii="宋体" w:hAnsi="宋体"/>
          <w:sz w:val="24"/>
        </w:rPr>
        <w:t>二次元件、保护压板、盘面上的元件均应采用有机玻璃的标志牌，标志牌刻有机组号及元件名称，标志牌布置在元件的下方。</w:t>
      </w:r>
    </w:p>
    <w:p w14:paraId="012FEF06">
      <w:pPr>
        <w:pStyle w:val="7"/>
        <w:numPr>
          <w:ilvl w:val="0"/>
          <w:numId w:val="31"/>
        </w:numPr>
        <w:spacing w:line="360" w:lineRule="auto"/>
        <w:ind w:leftChars="0"/>
        <w:contextualSpacing/>
        <w:rPr>
          <w:rFonts w:hint="eastAsia" w:ascii="宋体" w:hAnsi="宋体"/>
          <w:sz w:val="24"/>
        </w:rPr>
      </w:pPr>
      <w:r>
        <w:rPr>
          <w:rFonts w:hint="eastAsia" w:ascii="宋体" w:hAnsi="宋体"/>
          <w:sz w:val="24"/>
        </w:rPr>
        <w:t>断路器和接触器应有可靠的</w:t>
      </w:r>
      <w:r>
        <w:rPr>
          <w:rFonts w:ascii="宋体" w:hAnsi="宋体"/>
          <w:sz w:val="24"/>
        </w:rPr>
        <w:t>“</w:t>
      </w:r>
      <w:r>
        <w:rPr>
          <w:rFonts w:hint="eastAsia" w:ascii="宋体" w:hAnsi="宋体"/>
          <w:sz w:val="24"/>
        </w:rPr>
        <w:t>防跳</w:t>
      </w:r>
      <w:r>
        <w:rPr>
          <w:rFonts w:ascii="宋体" w:hAnsi="宋体"/>
          <w:sz w:val="24"/>
        </w:rPr>
        <w:t>”</w:t>
      </w:r>
      <w:r>
        <w:rPr>
          <w:rFonts w:hint="eastAsia" w:ascii="宋体" w:hAnsi="宋体"/>
          <w:sz w:val="24"/>
        </w:rPr>
        <w:t>接线。</w:t>
      </w:r>
    </w:p>
    <w:p w14:paraId="128E3C70">
      <w:pPr>
        <w:pStyle w:val="7"/>
        <w:numPr>
          <w:ilvl w:val="0"/>
          <w:numId w:val="31"/>
        </w:numPr>
        <w:spacing w:line="360" w:lineRule="auto"/>
        <w:ind w:leftChars="0"/>
        <w:contextualSpacing/>
        <w:rPr>
          <w:rFonts w:hint="eastAsia" w:ascii="宋体" w:hAnsi="宋体"/>
          <w:sz w:val="24"/>
        </w:rPr>
      </w:pPr>
      <w:r>
        <w:rPr>
          <w:rFonts w:hint="eastAsia" w:ascii="宋体" w:hAnsi="宋体"/>
          <w:sz w:val="24"/>
        </w:rPr>
        <w:t>为保证互换性，抽屉式开关柜同类设备(断路器、接触器等)的抽屉单元二次接线和二次插头应具有相同的接线和排列。</w:t>
      </w:r>
    </w:p>
    <w:p w14:paraId="58EEA531">
      <w:pPr>
        <w:pStyle w:val="7"/>
        <w:numPr>
          <w:ilvl w:val="0"/>
          <w:numId w:val="31"/>
        </w:numPr>
        <w:spacing w:line="360" w:lineRule="auto"/>
        <w:ind w:leftChars="0"/>
        <w:contextualSpacing/>
        <w:rPr>
          <w:rFonts w:hint="eastAsia" w:ascii="宋体" w:hAnsi="宋体"/>
          <w:sz w:val="24"/>
        </w:rPr>
      </w:pPr>
      <w:r>
        <w:rPr>
          <w:rFonts w:hint="eastAsia" w:ascii="宋体" w:hAnsi="宋体"/>
          <w:sz w:val="24"/>
        </w:rPr>
        <w:t>温、湿度控制器采用采用福州新海创电力科技有限公司。</w:t>
      </w:r>
    </w:p>
    <w:p w14:paraId="04E2B6B5">
      <w:pPr>
        <w:pStyle w:val="7"/>
        <w:numPr>
          <w:ilvl w:val="0"/>
          <w:numId w:val="31"/>
        </w:numPr>
        <w:spacing w:line="360" w:lineRule="auto"/>
        <w:ind w:leftChars="0"/>
        <w:contextualSpacing/>
        <w:rPr>
          <w:rFonts w:hint="eastAsia" w:ascii="宋体" w:hAnsi="宋体"/>
          <w:sz w:val="24"/>
        </w:rPr>
      </w:pPr>
      <w:r>
        <w:rPr>
          <w:rFonts w:hint="eastAsia" w:ascii="宋体" w:hAnsi="宋体"/>
          <w:sz w:val="24"/>
        </w:rPr>
        <w:t xml:space="preserve">多功能表计要求现场调试,采用上海纳宇电气有限公司产品。 </w:t>
      </w:r>
    </w:p>
    <w:p w14:paraId="33227304">
      <w:pPr>
        <w:pStyle w:val="7"/>
        <w:numPr>
          <w:ilvl w:val="0"/>
          <w:numId w:val="31"/>
        </w:numPr>
        <w:spacing w:line="360" w:lineRule="auto"/>
        <w:ind w:leftChars="0"/>
        <w:contextualSpacing/>
        <w:rPr>
          <w:rFonts w:hint="eastAsia" w:ascii="仿宋" w:hAnsi="仿宋" w:eastAsia="仿宋" w:cs="仿宋"/>
          <w:sz w:val="30"/>
          <w:szCs w:val="30"/>
          <w:lang w:val="en-US" w:eastAsia="zh-CN"/>
        </w:rPr>
      </w:pPr>
      <w:r>
        <w:rPr>
          <w:rFonts w:hint="eastAsia" w:ascii="宋体" w:hAnsi="宋体"/>
          <w:sz w:val="24"/>
        </w:rPr>
        <w:t>电流电压数显表或电流电压变送器要求现场调试，选用上海纳宇电气有限公司的产品。</w:t>
      </w:r>
    </w:p>
    <w:p w14:paraId="66C09726">
      <w:pPr>
        <w:numPr>
          <w:ilvl w:val="0"/>
          <w:numId w:val="0"/>
        </w:numPr>
        <w:bidi w:val="0"/>
        <w:rPr>
          <w:rFonts w:hint="eastAsia" w:ascii="仿宋" w:hAnsi="仿宋" w:eastAsia="仿宋" w:cs="仿宋"/>
          <w:sz w:val="30"/>
          <w:szCs w:val="30"/>
        </w:rPr>
      </w:pPr>
      <w:r>
        <w:rPr>
          <w:rFonts w:hint="eastAsia" w:ascii="仿宋" w:hAnsi="仿宋" w:eastAsia="仿宋" w:cs="仿宋"/>
          <w:sz w:val="30"/>
          <w:szCs w:val="30"/>
          <w:lang w:val="en-US" w:eastAsia="zh-CN"/>
        </w:rPr>
        <w:t>4.3</w:t>
      </w:r>
      <w:r>
        <w:rPr>
          <w:rFonts w:hint="eastAsia" w:ascii="仿宋" w:hAnsi="仿宋" w:eastAsia="仿宋" w:cs="仿宋"/>
          <w:sz w:val="30"/>
          <w:szCs w:val="30"/>
        </w:rPr>
        <w:t>分体式直流充电桩（480kW）</w:t>
      </w:r>
    </w:p>
    <w:p w14:paraId="368539AF">
      <w:pPr>
        <w:numPr>
          <w:ilvl w:val="0"/>
          <w:numId w:val="0"/>
        </w:numPr>
        <w:bidi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4.3.1应采用双枪设计,选用安科瑞、科华等国内外知名品牌产品。</w:t>
      </w:r>
    </w:p>
    <w:p w14:paraId="67CAD7CE">
      <w:pPr>
        <w:spacing w:line="360" w:lineRule="auto"/>
        <w:rPr>
          <w:rFonts w:hint="eastAsia" w:ascii="仿宋" w:hAnsi="仿宋" w:eastAsia="仿宋" w:cs="仿宋"/>
          <w:b/>
          <w:bCs/>
          <w:sz w:val="24"/>
        </w:rPr>
      </w:pPr>
      <w:r>
        <w:rPr>
          <w:rFonts w:hint="eastAsia" w:ascii="仿宋" w:hAnsi="仿宋" w:eastAsia="仿宋" w:cs="仿宋"/>
          <w:b/>
          <w:bCs/>
          <w:sz w:val="24"/>
          <w:lang w:val="en-US" w:eastAsia="zh-CN"/>
        </w:rPr>
        <w:t>4.3.2</w:t>
      </w:r>
      <w:r>
        <w:rPr>
          <w:rFonts w:hint="eastAsia" w:ascii="仿宋" w:hAnsi="仿宋" w:eastAsia="仿宋" w:cs="仿宋"/>
          <w:b/>
          <w:bCs/>
          <w:sz w:val="24"/>
        </w:rPr>
        <w:t>环境条件</w:t>
      </w:r>
    </w:p>
    <w:p w14:paraId="26E929A7">
      <w:pPr>
        <w:numPr>
          <w:ilvl w:val="0"/>
          <w:numId w:val="33"/>
        </w:numPr>
        <w:tabs>
          <w:tab w:val="left" w:pos="1134"/>
        </w:tabs>
        <w:spacing w:line="360" w:lineRule="auto"/>
        <w:rPr>
          <w:rFonts w:hint="eastAsia" w:ascii="仿宋" w:hAnsi="仿宋" w:eastAsia="仿宋" w:cs="仿宋"/>
          <w:sz w:val="24"/>
        </w:rPr>
      </w:pPr>
      <w:r>
        <w:rPr>
          <w:rFonts w:hint="eastAsia" w:ascii="仿宋" w:hAnsi="仿宋" w:eastAsia="仿宋" w:cs="仿宋"/>
          <w:sz w:val="24"/>
        </w:rPr>
        <w:t>环境温度：-30℃～55℃；</w:t>
      </w:r>
    </w:p>
    <w:p w14:paraId="43CE8B91">
      <w:pPr>
        <w:numPr>
          <w:ilvl w:val="0"/>
          <w:numId w:val="33"/>
        </w:numPr>
        <w:tabs>
          <w:tab w:val="left" w:pos="1134"/>
        </w:tabs>
        <w:spacing w:line="360" w:lineRule="auto"/>
        <w:rPr>
          <w:rFonts w:hint="eastAsia" w:ascii="仿宋" w:hAnsi="仿宋" w:eastAsia="仿宋" w:cs="仿宋"/>
          <w:sz w:val="24"/>
        </w:rPr>
      </w:pPr>
      <w:r>
        <w:rPr>
          <w:rFonts w:hint="eastAsia" w:ascii="仿宋" w:hAnsi="仿宋" w:eastAsia="仿宋" w:cs="仿宋"/>
          <w:sz w:val="24"/>
        </w:rPr>
        <w:t>相对湿度：5％～95％；</w:t>
      </w:r>
    </w:p>
    <w:p w14:paraId="69EEA963">
      <w:pPr>
        <w:numPr>
          <w:ilvl w:val="0"/>
          <w:numId w:val="33"/>
        </w:numPr>
        <w:tabs>
          <w:tab w:val="left" w:pos="1134"/>
        </w:tabs>
        <w:spacing w:line="360" w:lineRule="auto"/>
        <w:rPr>
          <w:rFonts w:hint="eastAsia" w:ascii="仿宋" w:hAnsi="仿宋" w:eastAsia="仿宋" w:cs="仿宋"/>
          <w:sz w:val="24"/>
        </w:rPr>
      </w:pPr>
      <w:r>
        <w:rPr>
          <w:rFonts w:hint="eastAsia" w:ascii="仿宋" w:hAnsi="仿宋" w:eastAsia="仿宋" w:cs="仿宋"/>
          <w:sz w:val="24"/>
        </w:rPr>
        <w:t>海拔高度：≤2000m；</w:t>
      </w:r>
    </w:p>
    <w:p w14:paraId="0056A1EE">
      <w:pPr>
        <w:numPr>
          <w:ilvl w:val="0"/>
          <w:numId w:val="33"/>
        </w:numPr>
        <w:tabs>
          <w:tab w:val="left" w:pos="1134"/>
        </w:tabs>
        <w:spacing w:line="360" w:lineRule="auto"/>
        <w:rPr>
          <w:rFonts w:hint="default" w:ascii="仿宋" w:hAnsi="仿宋" w:eastAsia="仿宋" w:cs="仿宋"/>
          <w:sz w:val="28"/>
          <w:szCs w:val="28"/>
          <w:highlight w:val="none"/>
          <w:lang w:val="en-US" w:eastAsia="zh-CN"/>
        </w:rPr>
      </w:pPr>
      <w:r>
        <w:rPr>
          <w:rFonts w:hint="eastAsia" w:ascii="仿宋" w:hAnsi="仿宋" w:eastAsia="仿宋" w:cs="仿宋"/>
          <w:sz w:val="24"/>
        </w:rPr>
        <w:t>大气压强：80kPa～110kPa；</w:t>
      </w:r>
    </w:p>
    <w:p w14:paraId="160E788F">
      <w:pPr>
        <w:bidi w:val="0"/>
        <w:rPr>
          <w:rFonts w:hint="eastAsia" w:ascii="仿宋" w:hAnsi="仿宋" w:eastAsia="仿宋" w:cs="仿宋"/>
          <w:b/>
          <w:bCs/>
          <w:sz w:val="24"/>
        </w:rPr>
      </w:pPr>
      <w:r>
        <w:rPr>
          <w:rFonts w:hint="eastAsia" w:ascii="仿宋" w:hAnsi="仿宋" w:eastAsia="仿宋" w:cs="仿宋"/>
          <w:sz w:val="30"/>
          <w:szCs w:val="30"/>
          <w:lang w:val="en-US" w:eastAsia="zh-CN"/>
        </w:rPr>
        <w:t>4.3.3</w:t>
      </w:r>
      <w:r>
        <w:rPr>
          <w:rFonts w:hint="eastAsia" w:ascii="仿宋" w:hAnsi="仿宋" w:eastAsia="仿宋" w:cs="仿宋"/>
          <w:b/>
          <w:bCs/>
          <w:sz w:val="24"/>
        </w:rPr>
        <w:t>技术参数表</w:t>
      </w:r>
      <w:r>
        <w:rPr>
          <w:rFonts w:hint="eastAsia" w:ascii="仿宋" w:hAnsi="仿宋" w:eastAsia="仿宋" w:cs="仿宋"/>
          <w:sz w:val="30"/>
          <w:szCs w:val="30"/>
        </w:rPr>
        <w:t>：</w:t>
      </w:r>
    </w:p>
    <w:tbl>
      <w:tblPr>
        <w:tblStyle w:val="10"/>
        <w:tblW w:w="5000" w:type="pct"/>
        <w:jc w:val="center"/>
        <w:tblLayout w:type="autofit"/>
        <w:tblCellMar>
          <w:top w:w="0" w:type="dxa"/>
          <w:left w:w="108" w:type="dxa"/>
          <w:bottom w:w="0" w:type="dxa"/>
          <w:right w:w="108" w:type="dxa"/>
        </w:tblCellMar>
      </w:tblPr>
      <w:tblGrid>
        <w:gridCol w:w="811"/>
        <w:gridCol w:w="948"/>
        <w:gridCol w:w="2756"/>
        <w:gridCol w:w="1099"/>
        <w:gridCol w:w="2908"/>
      </w:tblGrid>
      <w:tr w14:paraId="7BB5EBA9">
        <w:tblPrEx>
          <w:tblCellMar>
            <w:top w:w="0" w:type="dxa"/>
            <w:left w:w="108" w:type="dxa"/>
            <w:bottom w:w="0" w:type="dxa"/>
            <w:right w:w="108" w:type="dxa"/>
          </w:tblCellMar>
        </w:tblPrEx>
        <w:trPr>
          <w:trHeight w:val="450" w:hRule="atLeast"/>
          <w:tblHeader/>
          <w:jc w:val="center"/>
        </w:trPr>
        <w:tc>
          <w:tcPr>
            <w:tcW w:w="476" w:type="pct"/>
            <w:tcBorders>
              <w:top w:val="single" w:color="auto" w:sz="4" w:space="0"/>
              <w:left w:val="single" w:color="auto" w:sz="4" w:space="0"/>
              <w:bottom w:val="single" w:color="auto" w:sz="4" w:space="0"/>
              <w:right w:val="single" w:color="auto" w:sz="4" w:space="0"/>
            </w:tcBorders>
            <w:noWrap w:val="0"/>
            <w:vAlign w:val="center"/>
          </w:tcPr>
          <w:p w14:paraId="0BAAD269">
            <w:pPr>
              <w:widowControl/>
              <w:jc w:val="center"/>
              <w:rPr>
                <w:rFonts w:hint="eastAsia" w:ascii="仿宋" w:hAnsi="仿宋" w:eastAsia="仿宋" w:cs="仿宋"/>
                <w:b/>
                <w:bCs/>
              </w:rPr>
            </w:pPr>
            <w:r>
              <w:rPr>
                <w:rFonts w:hint="eastAsia" w:ascii="仿宋" w:hAnsi="仿宋" w:eastAsia="仿宋" w:cs="仿宋"/>
                <w:b/>
                <w:bCs/>
              </w:rPr>
              <w:t>序号</w:t>
            </w:r>
          </w:p>
        </w:tc>
        <w:tc>
          <w:tcPr>
            <w:tcW w:w="556" w:type="pct"/>
            <w:tcBorders>
              <w:top w:val="single" w:color="auto" w:sz="4" w:space="0"/>
              <w:left w:val="nil"/>
              <w:bottom w:val="single" w:color="auto" w:sz="4" w:space="0"/>
              <w:right w:val="single" w:color="auto" w:sz="4" w:space="0"/>
            </w:tcBorders>
            <w:noWrap w:val="0"/>
            <w:vAlign w:val="center"/>
          </w:tcPr>
          <w:p w14:paraId="1C316DE1">
            <w:pPr>
              <w:widowControl/>
              <w:jc w:val="center"/>
              <w:rPr>
                <w:rFonts w:hint="eastAsia" w:ascii="仿宋" w:hAnsi="仿宋" w:eastAsia="仿宋" w:cs="仿宋"/>
                <w:b/>
                <w:bCs/>
              </w:rPr>
            </w:pPr>
            <w:r>
              <w:rPr>
                <w:rFonts w:hint="eastAsia" w:ascii="仿宋" w:hAnsi="仿宋" w:eastAsia="仿宋" w:cs="仿宋"/>
                <w:b/>
                <w:bCs/>
              </w:rPr>
              <w:t>名称</w:t>
            </w:r>
          </w:p>
        </w:tc>
        <w:tc>
          <w:tcPr>
            <w:tcW w:w="1617" w:type="pct"/>
            <w:tcBorders>
              <w:top w:val="single" w:color="auto" w:sz="4" w:space="0"/>
              <w:left w:val="nil"/>
              <w:bottom w:val="single" w:color="auto" w:sz="4" w:space="0"/>
              <w:right w:val="single" w:color="auto" w:sz="4" w:space="0"/>
            </w:tcBorders>
            <w:noWrap w:val="0"/>
            <w:vAlign w:val="center"/>
          </w:tcPr>
          <w:p w14:paraId="4D8A1C16">
            <w:pPr>
              <w:widowControl/>
              <w:jc w:val="center"/>
              <w:rPr>
                <w:rFonts w:hint="eastAsia" w:ascii="仿宋" w:hAnsi="仿宋" w:eastAsia="仿宋" w:cs="仿宋"/>
                <w:b/>
                <w:bCs/>
              </w:rPr>
            </w:pPr>
            <w:r>
              <w:rPr>
                <w:rFonts w:hint="eastAsia" w:ascii="仿宋" w:hAnsi="仿宋" w:eastAsia="仿宋" w:cs="仿宋"/>
                <w:b/>
                <w:bCs/>
              </w:rPr>
              <w:t>项目</w:t>
            </w:r>
          </w:p>
        </w:tc>
        <w:tc>
          <w:tcPr>
            <w:tcW w:w="645" w:type="pct"/>
            <w:tcBorders>
              <w:top w:val="single" w:color="auto" w:sz="4" w:space="0"/>
              <w:left w:val="nil"/>
              <w:bottom w:val="single" w:color="auto" w:sz="4" w:space="0"/>
              <w:right w:val="single" w:color="auto" w:sz="4" w:space="0"/>
            </w:tcBorders>
            <w:noWrap w:val="0"/>
            <w:vAlign w:val="center"/>
          </w:tcPr>
          <w:p w14:paraId="0E7B5F06">
            <w:pPr>
              <w:widowControl/>
              <w:jc w:val="center"/>
              <w:rPr>
                <w:rFonts w:hint="eastAsia" w:ascii="仿宋" w:hAnsi="仿宋" w:eastAsia="仿宋" w:cs="仿宋"/>
                <w:b/>
                <w:bCs/>
              </w:rPr>
            </w:pPr>
            <w:r>
              <w:rPr>
                <w:rFonts w:hint="eastAsia" w:ascii="仿宋" w:hAnsi="仿宋" w:eastAsia="仿宋" w:cs="仿宋"/>
                <w:b/>
                <w:bCs/>
              </w:rPr>
              <w:t>单位</w:t>
            </w:r>
          </w:p>
        </w:tc>
        <w:tc>
          <w:tcPr>
            <w:tcW w:w="1706" w:type="pct"/>
            <w:tcBorders>
              <w:top w:val="single" w:color="auto" w:sz="4" w:space="0"/>
              <w:left w:val="nil"/>
              <w:bottom w:val="single" w:color="auto" w:sz="4" w:space="0"/>
              <w:right w:val="single" w:color="auto" w:sz="4" w:space="0"/>
            </w:tcBorders>
            <w:noWrap w:val="0"/>
            <w:vAlign w:val="center"/>
          </w:tcPr>
          <w:p w14:paraId="1C2299A3">
            <w:pPr>
              <w:widowControl/>
              <w:jc w:val="center"/>
              <w:rPr>
                <w:rFonts w:hint="eastAsia" w:ascii="仿宋" w:hAnsi="仿宋" w:eastAsia="仿宋" w:cs="仿宋"/>
                <w:b/>
                <w:bCs/>
              </w:rPr>
            </w:pPr>
            <w:r>
              <w:rPr>
                <w:rFonts w:hint="eastAsia" w:ascii="仿宋" w:hAnsi="仿宋" w:eastAsia="仿宋" w:cs="仿宋"/>
                <w:b/>
                <w:bCs/>
              </w:rPr>
              <w:t>技术参数要求</w:t>
            </w:r>
          </w:p>
        </w:tc>
      </w:tr>
      <w:tr w14:paraId="479D8F07">
        <w:tblPrEx>
          <w:tblCellMar>
            <w:top w:w="0" w:type="dxa"/>
            <w:left w:w="108" w:type="dxa"/>
            <w:bottom w:w="0" w:type="dxa"/>
            <w:right w:w="108" w:type="dxa"/>
          </w:tblCellMar>
        </w:tblPrEx>
        <w:trPr>
          <w:trHeight w:val="270" w:hRule="atLeast"/>
          <w:jc w:val="center"/>
        </w:trPr>
        <w:tc>
          <w:tcPr>
            <w:tcW w:w="476" w:type="pct"/>
            <w:tcBorders>
              <w:top w:val="nil"/>
              <w:left w:val="single" w:color="auto" w:sz="4" w:space="0"/>
              <w:bottom w:val="single" w:color="auto" w:sz="4" w:space="0"/>
              <w:right w:val="single" w:color="auto" w:sz="4" w:space="0"/>
            </w:tcBorders>
            <w:noWrap w:val="0"/>
            <w:vAlign w:val="center"/>
          </w:tcPr>
          <w:p w14:paraId="71A1B135">
            <w:pPr>
              <w:widowControl/>
              <w:jc w:val="center"/>
              <w:rPr>
                <w:rFonts w:hint="eastAsia" w:ascii="仿宋" w:hAnsi="仿宋" w:eastAsia="仿宋" w:cs="仿宋"/>
              </w:rPr>
            </w:pPr>
            <w:r>
              <w:rPr>
                <w:rFonts w:hint="eastAsia" w:ascii="仿宋" w:hAnsi="仿宋" w:eastAsia="仿宋" w:cs="仿宋"/>
              </w:rPr>
              <w:t>1</w:t>
            </w:r>
          </w:p>
        </w:tc>
        <w:tc>
          <w:tcPr>
            <w:tcW w:w="556" w:type="pct"/>
            <w:vMerge w:val="restart"/>
            <w:tcBorders>
              <w:top w:val="nil"/>
              <w:left w:val="single" w:color="auto" w:sz="4" w:space="0"/>
              <w:bottom w:val="single" w:color="auto" w:sz="4" w:space="0"/>
              <w:right w:val="single" w:color="auto" w:sz="4" w:space="0"/>
            </w:tcBorders>
            <w:noWrap w:val="0"/>
            <w:vAlign w:val="center"/>
          </w:tcPr>
          <w:p w14:paraId="1F4B75E2">
            <w:pPr>
              <w:widowControl/>
              <w:jc w:val="center"/>
              <w:rPr>
                <w:rFonts w:hint="eastAsia" w:ascii="仿宋" w:hAnsi="仿宋" w:eastAsia="仿宋" w:cs="仿宋"/>
              </w:rPr>
            </w:pPr>
            <w:r>
              <w:rPr>
                <w:rFonts w:hint="eastAsia" w:ascii="仿宋" w:hAnsi="仿宋" w:eastAsia="仿宋" w:cs="仿宋"/>
              </w:rPr>
              <w:t>直流充电机（整机，含充电桩）</w:t>
            </w:r>
          </w:p>
        </w:tc>
        <w:tc>
          <w:tcPr>
            <w:tcW w:w="1617" w:type="pct"/>
            <w:tcBorders>
              <w:top w:val="nil"/>
              <w:left w:val="nil"/>
              <w:bottom w:val="single" w:color="auto" w:sz="4" w:space="0"/>
              <w:right w:val="single" w:color="auto" w:sz="4" w:space="0"/>
            </w:tcBorders>
            <w:noWrap w:val="0"/>
            <w:vAlign w:val="center"/>
          </w:tcPr>
          <w:p w14:paraId="37B1A6E7">
            <w:pPr>
              <w:widowControl/>
              <w:jc w:val="center"/>
              <w:rPr>
                <w:rFonts w:hint="eastAsia" w:ascii="仿宋" w:hAnsi="仿宋" w:eastAsia="仿宋" w:cs="仿宋"/>
              </w:rPr>
            </w:pPr>
            <w:r>
              <w:rPr>
                <w:rFonts w:hint="eastAsia" w:ascii="仿宋" w:hAnsi="仿宋" w:eastAsia="仿宋" w:cs="仿宋"/>
              </w:rPr>
              <w:t>交流输入电压</w:t>
            </w:r>
          </w:p>
        </w:tc>
        <w:tc>
          <w:tcPr>
            <w:tcW w:w="645" w:type="pct"/>
            <w:tcBorders>
              <w:top w:val="nil"/>
              <w:left w:val="nil"/>
              <w:bottom w:val="single" w:color="auto" w:sz="4" w:space="0"/>
              <w:right w:val="single" w:color="auto" w:sz="4" w:space="0"/>
            </w:tcBorders>
            <w:noWrap w:val="0"/>
            <w:vAlign w:val="center"/>
          </w:tcPr>
          <w:p w14:paraId="454DFDB0">
            <w:pPr>
              <w:widowControl/>
              <w:jc w:val="center"/>
              <w:rPr>
                <w:rFonts w:hint="eastAsia" w:ascii="仿宋" w:hAnsi="仿宋" w:eastAsia="仿宋" w:cs="仿宋"/>
              </w:rPr>
            </w:pPr>
            <w:r>
              <w:rPr>
                <w:rFonts w:hint="eastAsia" w:ascii="仿宋" w:hAnsi="仿宋" w:eastAsia="仿宋" w:cs="仿宋"/>
              </w:rPr>
              <w:t>V</w:t>
            </w:r>
          </w:p>
        </w:tc>
        <w:tc>
          <w:tcPr>
            <w:tcW w:w="1706" w:type="pct"/>
            <w:tcBorders>
              <w:top w:val="nil"/>
              <w:left w:val="nil"/>
              <w:bottom w:val="single" w:color="auto" w:sz="4" w:space="0"/>
              <w:right w:val="single" w:color="auto" w:sz="4" w:space="0"/>
            </w:tcBorders>
            <w:noWrap w:val="0"/>
            <w:vAlign w:val="center"/>
          </w:tcPr>
          <w:p w14:paraId="6BAFBF7E">
            <w:pPr>
              <w:widowControl/>
              <w:jc w:val="center"/>
              <w:rPr>
                <w:rFonts w:hint="eastAsia" w:ascii="仿宋" w:hAnsi="仿宋" w:eastAsia="仿宋" w:cs="仿宋"/>
              </w:rPr>
            </w:pPr>
            <w:r>
              <w:rPr>
                <w:rFonts w:hint="eastAsia" w:ascii="仿宋" w:hAnsi="仿宋" w:eastAsia="仿宋" w:cs="仿宋"/>
              </w:rPr>
              <w:t>380V±20%</w:t>
            </w:r>
          </w:p>
        </w:tc>
      </w:tr>
      <w:tr w14:paraId="38D7CFFF">
        <w:tblPrEx>
          <w:tblCellMar>
            <w:top w:w="0" w:type="dxa"/>
            <w:left w:w="108" w:type="dxa"/>
            <w:bottom w:w="0" w:type="dxa"/>
            <w:right w:w="108" w:type="dxa"/>
          </w:tblCellMar>
        </w:tblPrEx>
        <w:trPr>
          <w:trHeight w:val="270" w:hRule="atLeast"/>
          <w:jc w:val="center"/>
        </w:trPr>
        <w:tc>
          <w:tcPr>
            <w:tcW w:w="476" w:type="pct"/>
            <w:tcBorders>
              <w:top w:val="nil"/>
              <w:left w:val="single" w:color="auto" w:sz="4" w:space="0"/>
              <w:bottom w:val="single" w:color="auto" w:sz="4" w:space="0"/>
              <w:right w:val="single" w:color="auto" w:sz="4" w:space="0"/>
            </w:tcBorders>
            <w:noWrap w:val="0"/>
            <w:vAlign w:val="center"/>
          </w:tcPr>
          <w:p w14:paraId="3E2CD763">
            <w:pPr>
              <w:widowControl/>
              <w:jc w:val="center"/>
              <w:rPr>
                <w:rFonts w:hint="eastAsia" w:ascii="仿宋" w:hAnsi="仿宋" w:eastAsia="仿宋" w:cs="仿宋"/>
              </w:rPr>
            </w:pPr>
            <w:r>
              <w:rPr>
                <w:rFonts w:hint="eastAsia" w:ascii="仿宋" w:hAnsi="仿宋" w:eastAsia="仿宋" w:cs="仿宋"/>
              </w:rPr>
              <w:t>2</w:t>
            </w:r>
          </w:p>
        </w:tc>
        <w:tc>
          <w:tcPr>
            <w:tcW w:w="556" w:type="pct"/>
            <w:vMerge w:val="continue"/>
            <w:tcBorders>
              <w:top w:val="nil"/>
              <w:left w:val="single" w:color="auto" w:sz="4" w:space="0"/>
              <w:bottom w:val="single" w:color="auto" w:sz="4" w:space="0"/>
              <w:right w:val="single" w:color="auto" w:sz="4" w:space="0"/>
            </w:tcBorders>
            <w:noWrap w:val="0"/>
            <w:vAlign w:val="center"/>
          </w:tcPr>
          <w:p w14:paraId="4B1D8ADB">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0007D861">
            <w:pPr>
              <w:widowControl/>
              <w:jc w:val="center"/>
              <w:rPr>
                <w:rFonts w:hint="eastAsia" w:ascii="仿宋" w:hAnsi="仿宋" w:eastAsia="仿宋" w:cs="仿宋"/>
              </w:rPr>
            </w:pPr>
            <w:r>
              <w:rPr>
                <w:rFonts w:hint="eastAsia" w:ascii="仿宋" w:hAnsi="仿宋" w:eastAsia="仿宋" w:cs="仿宋"/>
              </w:rPr>
              <w:t>交流电源频率</w:t>
            </w:r>
          </w:p>
        </w:tc>
        <w:tc>
          <w:tcPr>
            <w:tcW w:w="645" w:type="pct"/>
            <w:tcBorders>
              <w:top w:val="nil"/>
              <w:left w:val="nil"/>
              <w:bottom w:val="single" w:color="auto" w:sz="4" w:space="0"/>
              <w:right w:val="single" w:color="auto" w:sz="4" w:space="0"/>
            </w:tcBorders>
            <w:noWrap w:val="0"/>
            <w:vAlign w:val="center"/>
          </w:tcPr>
          <w:p w14:paraId="3F01BC2B">
            <w:pPr>
              <w:widowControl/>
              <w:jc w:val="center"/>
              <w:rPr>
                <w:rFonts w:hint="eastAsia" w:ascii="仿宋" w:hAnsi="仿宋" w:eastAsia="仿宋" w:cs="仿宋"/>
              </w:rPr>
            </w:pPr>
            <w:r>
              <w:rPr>
                <w:rFonts w:hint="eastAsia" w:ascii="仿宋" w:hAnsi="仿宋" w:eastAsia="仿宋" w:cs="仿宋"/>
              </w:rPr>
              <w:t>Hz</w:t>
            </w:r>
          </w:p>
        </w:tc>
        <w:tc>
          <w:tcPr>
            <w:tcW w:w="1706" w:type="pct"/>
            <w:tcBorders>
              <w:top w:val="nil"/>
              <w:left w:val="nil"/>
              <w:bottom w:val="single" w:color="auto" w:sz="4" w:space="0"/>
              <w:right w:val="single" w:color="auto" w:sz="4" w:space="0"/>
            </w:tcBorders>
            <w:noWrap w:val="0"/>
            <w:vAlign w:val="center"/>
          </w:tcPr>
          <w:p w14:paraId="2FF9CA31">
            <w:pPr>
              <w:widowControl/>
              <w:jc w:val="center"/>
              <w:rPr>
                <w:rFonts w:hint="eastAsia" w:ascii="仿宋" w:hAnsi="仿宋" w:eastAsia="仿宋" w:cs="仿宋"/>
              </w:rPr>
            </w:pPr>
            <w:r>
              <w:rPr>
                <w:rFonts w:hint="eastAsia" w:ascii="仿宋" w:hAnsi="仿宋" w:eastAsia="仿宋" w:cs="仿宋"/>
              </w:rPr>
              <w:t>45-66Hz</w:t>
            </w:r>
          </w:p>
        </w:tc>
      </w:tr>
      <w:tr w14:paraId="2A7244D4">
        <w:tblPrEx>
          <w:tblCellMar>
            <w:top w:w="0" w:type="dxa"/>
            <w:left w:w="108" w:type="dxa"/>
            <w:bottom w:w="0" w:type="dxa"/>
            <w:right w:w="108" w:type="dxa"/>
          </w:tblCellMar>
        </w:tblPrEx>
        <w:trPr>
          <w:trHeight w:val="270" w:hRule="atLeast"/>
          <w:jc w:val="center"/>
        </w:trPr>
        <w:tc>
          <w:tcPr>
            <w:tcW w:w="476" w:type="pct"/>
            <w:tcBorders>
              <w:top w:val="nil"/>
              <w:left w:val="single" w:color="auto" w:sz="4" w:space="0"/>
              <w:bottom w:val="single" w:color="auto" w:sz="4" w:space="0"/>
              <w:right w:val="single" w:color="auto" w:sz="4" w:space="0"/>
            </w:tcBorders>
            <w:noWrap w:val="0"/>
            <w:vAlign w:val="center"/>
          </w:tcPr>
          <w:p w14:paraId="038A4234">
            <w:pPr>
              <w:widowControl/>
              <w:jc w:val="center"/>
              <w:rPr>
                <w:rFonts w:hint="eastAsia" w:ascii="仿宋" w:hAnsi="仿宋" w:eastAsia="仿宋" w:cs="仿宋"/>
              </w:rPr>
            </w:pPr>
            <w:r>
              <w:rPr>
                <w:rFonts w:hint="eastAsia" w:ascii="仿宋" w:hAnsi="仿宋" w:eastAsia="仿宋" w:cs="仿宋"/>
              </w:rPr>
              <w:t>3</w:t>
            </w:r>
          </w:p>
        </w:tc>
        <w:tc>
          <w:tcPr>
            <w:tcW w:w="556" w:type="pct"/>
            <w:vMerge w:val="continue"/>
            <w:tcBorders>
              <w:top w:val="nil"/>
              <w:left w:val="single" w:color="auto" w:sz="4" w:space="0"/>
              <w:bottom w:val="single" w:color="auto" w:sz="4" w:space="0"/>
              <w:right w:val="single" w:color="auto" w:sz="4" w:space="0"/>
            </w:tcBorders>
            <w:noWrap w:val="0"/>
            <w:vAlign w:val="center"/>
          </w:tcPr>
          <w:p w14:paraId="20F5D06B">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50B31753">
            <w:pPr>
              <w:widowControl/>
              <w:jc w:val="center"/>
              <w:rPr>
                <w:rFonts w:hint="eastAsia" w:ascii="仿宋" w:hAnsi="仿宋" w:eastAsia="仿宋" w:cs="仿宋"/>
              </w:rPr>
            </w:pPr>
            <w:r>
              <w:rPr>
                <w:rFonts w:hint="eastAsia" w:ascii="仿宋" w:hAnsi="仿宋" w:eastAsia="仿宋" w:cs="仿宋"/>
              </w:rPr>
              <w:t>输入功率因数</w:t>
            </w:r>
          </w:p>
        </w:tc>
        <w:tc>
          <w:tcPr>
            <w:tcW w:w="645" w:type="pct"/>
            <w:tcBorders>
              <w:top w:val="nil"/>
              <w:left w:val="nil"/>
              <w:bottom w:val="single" w:color="auto" w:sz="4" w:space="0"/>
              <w:right w:val="single" w:color="auto" w:sz="4" w:space="0"/>
            </w:tcBorders>
            <w:noWrap w:val="0"/>
            <w:vAlign w:val="center"/>
          </w:tcPr>
          <w:p w14:paraId="74DC858B">
            <w:pPr>
              <w:widowControl/>
              <w:jc w:val="center"/>
              <w:rPr>
                <w:rFonts w:hint="eastAsia" w:ascii="仿宋" w:hAnsi="仿宋" w:eastAsia="仿宋" w:cs="仿宋"/>
              </w:rPr>
            </w:pPr>
          </w:p>
        </w:tc>
        <w:tc>
          <w:tcPr>
            <w:tcW w:w="1706" w:type="pct"/>
            <w:tcBorders>
              <w:top w:val="nil"/>
              <w:left w:val="nil"/>
              <w:bottom w:val="single" w:color="auto" w:sz="4" w:space="0"/>
              <w:right w:val="single" w:color="auto" w:sz="4" w:space="0"/>
            </w:tcBorders>
            <w:noWrap w:val="0"/>
            <w:vAlign w:val="center"/>
          </w:tcPr>
          <w:p w14:paraId="73586723">
            <w:pPr>
              <w:widowControl/>
              <w:jc w:val="center"/>
              <w:rPr>
                <w:rFonts w:hint="eastAsia" w:ascii="仿宋" w:hAnsi="仿宋" w:eastAsia="仿宋" w:cs="仿宋"/>
              </w:rPr>
            </w:pPr>
            <w:r>
              <w:rPr>
                <w:rFonts w:hint="eastAsia" w:ascii="仿宋" w:hAnsi="仿宋" w:eastAsia="仿宋" w:cs="仿宋"/>
              </w:rPr>
              <w:t>≥0.99</w:t>
            </w:r>
          </w:p>
        </w:tc>
      </w:tr>
      <w:tr w14:paraId="5EFB2B83">
        <w:tblPrEx>
          <w:tblCellMar>
            <w:top w:w="0" w:type="dxa"/>
            <w:left w:w="108" w:type="dxa"/>
            <w:bottom w:w="0" w:type="dxa"/>
            <w:right w:w="108" w:type="dxa"/>
          </w:tblCellMar>
        </w:tblPrEx>
        <w:trPr>
          <w:trHeight w:val="450" w:hRule="atLeast"/>
          <w:jc w:val="center"/>
        </w:trPr>
        <w:tc>
          <w:tcPr>
            <w:tcW w:w="476" w:type="pct"/>
            <w:tcBorders>
              <w:top w:val="nil"/>
              <w:left w:val="single" w:color="auto" w:sz="4" w:space="0"/>
              <w:bottom w:val="single" w:color="auto" w:sz="4" w:space="0"/>
              <w:right w:val="single" w:color="auto" w:sz="4" w:space="0"/>
            </w:tcBorders>
            <w:noWrap w:val="0"/>
            <w:vAlign w:val="center"/>
          </w:tcPr>
          <w:p w14:paraId="66B98B71">
            <w:pPr>
              <w:widowControl/>
              <w:jc w:val="center"/>
              <w:rPr>
                <w:rFonts w:hint="eastAsia" w:ascii="仿宋" w:hAnsi="仿宋" w:eastAsia="仿宋" w:cs="仿宋"/>
              </w:rPr>
            </w:pPr>
            <w:r>
              <w:rPr>
                <w:rFonts w:hint="eastAsia" w:ascii="仿宋" w:hAnsi="仿宋" w:eastAsia="仿宋" w:cs="仿宋"/>
              </w:rPr>
              <w:t>4</w:t>
            </w:r>
          </w:p>
        </w:tc>
        <w:tc>
          <w:tcPr>
            <w:tcW w:w="556" w:type="pct"/>
            <w:vMerge w:val="continue"/>
            <w:tcBorders>
              <w:top w:val="nil"/>
              <w:left w:val="single" w:color="auto" w:sz="4" w:space="0"/>
              <w:bottom w:val="single" w:color="auto" w:sz="4" w:space="0"/>
              <w:right w:val="single" w:color="auto" w:sz="4" w:space="0"/>
            </w:tcBorders>
            <w:noWrap w:val="0"/>
            <w:vAlign w:val="center"/>
          </w:tcPr>
          <w:p w14:paraId="4855BAD0">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73667CAE">
            <w:pPr>
              <w:widowControl/>
              <w:jc w:val="center"/>
              <w:rPr>
                <w:rFonts w:hint="eastAsia" w:ascii="仿宋" w:hAnsi="仿宋" w:eastAsia="仿宋" w:cs="仿宋"/>
              </w:rPr>
            </w:pPr>
            <w:r>
              <w:rPr>
                <w:rFonts w:hint="eastAsia" w:ascii="仿宋" w:hAnsi="仿宋" w:eastAsia="仿宋" w:cs="仿宋"/>
              </w:rPr>
              <w:t>直流电压调节范围</w:t>
            </w:r>
          </w:p>
        </w:tc>
        <w:tc>
          <w:tcPr>
            <w:tcW w:w="645" w:type="pct"/>
            <w:tcBorders>
              <w:top w:val="nil"/>
              <w:left w:val="nil"/>
              <w:bottom w:val="single" w:color="auto" w:sz="4" w:space="0"/>
              <w:right w:val="single" w:color="auto" w:sz="4" w:space="0"/>
            </w:tcBorders>
            <w:noWrap w:val="0"/>
            <w:vAlign w:val="center"/>
          </w:tcPr>
          <w:p w14:paraId="58E9660D">
            <w:pPr>
              <w:widowControl/>
              <w:jc w:val="center"/>
              <w:rPr>
                <w:rFonts w:hint="eastAsia" w:ascii="仿宋" w:hAnsi="仿宋" w:eastAsia="仿宋" w:cs="仿宋"/>
              </w:rPr>
            </w:pPr>
            <w:r>
              <w:rPr>
                <w:rFonts w:hint="eastAsia" w:ascii="仿宋" w:hAnsi="仿宋" w:eastAsia="仿宋" w:cs="仿宋"/>
              </w:rPr>
              <w:t>V</w:t>
            </w:r>
          </w:p>
        </w:tc>
        <w:tc>
          <w:tcPr>
            <w:tcW w:w="1706" w:type="pct"/>
            <w:tcBorders>
              <w:top w:val="nil"/>
              <w:left w:val="nil"/>
              <w:bottom w:val="single" w:color="auto" w:sz="4" w:space="0"/>
              <w:right w:val="single" w:color="auto" w:sz="4" w:space="0"/>
            </w:tcBorders>
            <w:noWrap w:val="0"/>
            <w:vAlign w:val="center"/>
          </w:tcPr>
          <w:p w14:paraId="1EF7EC9B">
            <w:pPr>
              <w:widowControl/>
              <w:jc w:val="center"/>
              <w:rPr>
                <w:rFonts w:hint="eastAsia" w:ascii="仿宋" w:hAnsi="仿宋" w:eastAsia="仿宋" w:cs="仿宋"/>
              </w:rPr>
            </w:pPr>
            <w:r>
              <w:rPr>
                <w:rFonts w:hint="eastAsia" w:ascii="仿宋" w:hAnsi="仿宋" w:eastAsia="仿宋" w:cs="仿宋"/>
              </w:rPr>
              <w:t>50-1000V</w:t>
            </w:r>
          </w:p>
        </w:tc>
      </w:tr>
      <w:tr w14:paraId="06755CE2">
        <w:tblPrEx>
          <w:tblCellMar>
            <w:top w:w="0" w:type="dxa"/>
            <w:left w:w="108" w:type="dxa"/>
            <w:bottom w:w="0" w:type="dxa"/>
            <w:right w:w="108" w:type="dxa"/>
          </w:tblCellMar>
        </w:tblPrEx>
        <w:trPr>
          <w:trHeight w:val="450" w:hRule="atLeast"/>
          <w:jc w:val="center"/>
        </w:trPr>
        <w:tc>
          <w:tcPr>
            <w:tcW w:w="476" w:type="pct"/>
            <w:tcBorders>
              <w:top w:val="nil"/>
              <w:left w:val="single" w:color="auto" w:sz="4" w:space="0"/>
              <w:bottom w:val="single" w:color="auto" w:sz="4" w:space="0"/>
              <w:right w:val="single" w:color="auto" w:sz="4" w:space="0"/>
            </w:tcBorders>
            <w:noWrap w:val="0"/>
            <w:vAlign w:val="center"/>
          </w:tcPr>
          <w:p w14:paraId="63D2AC45">
            <w:pPr>
              <w:widowControl/>
              <w:jc w:val="center"/>
              <w:rPr>
                <w:rFonts w:hint="eastAsia" w:ascii="仿宋" w:hAnsi="仿宋" w:eastAsia="仿宋" w:cs="仿宋"/>
              </w:rPr>
            </w:pPr>
            <w:r>
              <w:rPr>
                <w:rFonts w:hint="eastAsia" w:ascii="仿宋" w:hAnsi="仿宋" w:eastAsia="仿宋" w:cs="仿宋"/>
              </w:rPr>
              <w:t>5</w:t>
            </w:r>
          </w:p>
        </w:tc>
        <w:tc>
          <w:tcPr>
            <w:tcW w:w="556" w:type="pct"/>
            <w:vMerge w:val="continue"/>
            <w:tcBorders>
              <w:top w:val="nil"/>
              <w:left w:val="single" w:color="auto" w:sz="4" w:space="0"/>
              <w:bottom w:val="single" w:color="auto" w:sz="4" w:space="0"/>
              <w:right w:val="single" w:color="auto" w:sz="4" w:space="0"/>
            </w:tcBorders>
            <w:noWrap w:val="0"/>
            <w:vAlign w:val="center"/>
          </w:tcPr>
          <w:p w14:paraId="739CD314">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62ECE005">
            <w:pPr>
              <w:widowControl/>
              <w:jc w:val="center"/>
              <w:rPr>
                <w:rFonts w:hint="eastAsia" w:ascii="仿宋" w:hAnsi="仿宋" w:eastAsia="仿宋" w:cs="仿宋"/>
              </w:rPr>
            </w:pPr>
            <w:r>
              <w:rPr>
                <w:rFonts w:hint="eastAsia" w:ascii="仿宋" w:hAnsi="仿宋" w:eastAsia="仿宋" w:cs="仿宋"/>
              </w:rPr>
              <w:t>恒功率电压范围</w:t>
            </w:r>
          </w:p>
        </w:tc>
        <w:tc>
          <w:tcPr>
            <w:tcW w:w="645" w:type="pct"/>
            <w:tcBorders>
              <w:top w:val="nil"/>
              <w:left w:val="nil"/>
              <w:bottom w:val="single" w:color="auto" w:sz="4" w:space="0"/>
              <w:right w:val="single" w:color="auto" w:sz="4" w:space="0"/>
            </w:tcBorders>
            <w:noWrap w:val="0"/>
            <w:vAlign w:val="center"/>
          </w:tcPr>
          <w:p w14:paraId="0232C45A">
            <w:pPr>
              <w:widowControl/>
              <w:jc w:val="center"/>
              <w:rPr>
                <w:rFonts w:hint="eastAsia" w:ascii="仿宋" w:hAnsi="仿宋" w:eastAsia="仿宋" w:cs="仿宋"/>
              </w:rPr>
            </w:pPr>
          </w:p>
        </w:tc>
        <w:tc>
          <w:tcPr>
            <w:tcW w:w="1706" w:type="pct"/>
            <w:tcBorders>
              <w:top w:val="nil"/>
              <w:left w:val="nil"/>
              <w:bottom w:val="single" w:color="auto" w:sz="4" w:space="0"/>
              <w:right w:val="single" w:color="auto" w:sz="4" w:space="0"/>
            </w:tcBorders>
            <w:noWrap w:val="0"/>
            <w:vAlign w:val="center"/>
          </w:tcPr>
          <w:p w14:paraId="5B8D1503">
            <w:pPr>
              <w:widowControl/>
              <w:jc w:val="center"/>
              <w:rPr>
                <w:rFonts w:hint="eastAsia" w:ascii="仿宋" w:hAnsi="仿宋" w:eastAsia="仿宋" w:cs="仿宋"/>
              </w:rPr>
            </w:pPr>
            <w:r>
              <w:rPr>
                <w:rFonts w:hint="eastAsia" w:ascii="仿宋" w:hAnsi="仿宋" w:eastAsia="仿宋" w:cs="仿宋"/>
              </w:rPr>
              <w:t>300-1000V</w:t>
            </w:r>
          </w:p>
        </w:tc>
      </w:tr>
      <w:tr w14:paraId="73B5E4D5">
        <w:tblPrEx>
          <w:tblCellMar>
            <w:top w:w="0" w:type="dxa"/>
            <w:left w:w="108" w:type="dxa"/>
            <w:bottom w:w="0" w:type="dxa"/>
            <w:right w:w="108" w:type="dxa"/>
          </w:tblCellMar>
        </w:tblPrEx>
        <w:trPr>
          <w:trHeight w:val="450" w:hRule="atLeast"/>
          <w:jc w:val="center"/>
        </w:trPr>
        <w:tc>
          <w:tcPr>
            <w:tcW w:w="476" w:type="pct"/>
            <w:tcBorders>
              <w:top w:val="nil"/>
              <w:left w:val="single" w:color="auto" w:sz="4" w:space="0"/>
              <w:bottom w:val="single" w:color="auto" w:sz="4" w:space="0"/>
              <w:right w:val="single" w:color="auto" w:sz="4" w:space="0"/>
            </w:tcBorders>
            <w:noWrap w:val="0"/>
            <w:vAlign w:val="center"/>
          </w:tcPr>
          <w:p w14:paraId="2A43479A">
            <w:pPr>
              <w:widowControl/>
              <w:jc w:val="center"/>
              <w:rPr>
                <w:rFonts w:hint="eastAsia" w:ascii="仿宋" w:hAnsi="仿宋" w:eastAsia="仿宋" w:cs="仿宋"/>
              </w:rPr>
            </w:pPr>
            <w:r>
              <w:rPr>
                <w:rFonts w:hint="eastAsia" w:ascii="仿宋" w:hAnsi="仿宋" w:eastAsia="仿宋" w:cs="仿宋"/>
              </w:rPr>
              <w:t>6</w:t>
            </w:r>
          </w:p>
        </w:tc>
        <w:tc>
          <w:tcPr>
            <w:tcW w:w="556" w:type="pct"/>
            <w:vMerge w:val="continue"/>
            <w:tcBorders>
              <w:top w:val="nil"/>
              <w:left w:val="single" w:color="auto" w:sz="4" w:space="0"/>
              <w:bottom w:val="single" w:color="auto" w:sz="4" w:space="0"/>
              <w:right w:val="single" w:color="auto" w:sz="4" w:space="0"/>
            </w:tcBorders>
            <w:noWrap w:val="0"/>
            <w:vAlign w:val="center"/>
          </w:tcPr>
          <w:p w14:paraId="2A5E2D58">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284F412D">
            <w:pPr>
              <w:widowControl/>
              <w:jc w:val="center"/>
              <w:rPr>
                <w:rFonts w:hint="eastAsia" w:ascii="仿宋" w:hAnsi="仿宋" w:eastAsia="仿宋" w:cs="仿宋"/>
              </w:rPr>
            </w:pPr>
            <w:r>
              <w:rPr>
                <w:rFonts w:hint="eastAsia" w:ascii="仿宋" w:hAnsi="仿宋" w:eastAsia="仿宋" w:cs="仿宋"/>
              </w:rPr>
              <w:t>单模块额定输出功率</w:t>
            </w:r>
          </w:p>
        </w:tc>
        <w:tc>
          <w:tcPr>
            <w:tcW w:w="645" w:type="pct"/>
            <w:tcBorders>
              <w:top w:val="nil"/>
              <w:left w:val="nil"/>
              <w:bottom w:val="single" w:color="auto" w:sz="4" w:space="0"/>
              <w:right w:val="single" w:color="auto" w:sz="4" w:space="0"/>
            </w:tcBorders>
            <w:noWrap w:val="0"/>
            <w:vAlign w:val="center"/>
          </w:tcPr>
          <w:p w14:paraId="460FFF05">
            <w:pPr>
              <w:widowControl/>
              <w:jc w:val="center"/>
              <w:rPr>
                <w:rFonts w:hint="eastAsia" w:ascii="仿宋" w:hAnsi="仿宋" w:eastAsia="仿宋" w:cs="仿宋"/>
              </w:rPr>
            </w:pPr>
            <w:r>
              <w:rPr>
                <w:rFonts w:hint="eastAsia" w:ascii="仿宋" w:hAnsi="仿宋" w:eastAsia="仿宋" w:cs="仿宋"/>
              </w:rPr>
              <w:t>kW</w:t>
            </w:r>
          </w:p>
        </w:tc>
        <w:tc>
          <w:tcPr>
            <w:tcW w:w="1706" w:type="pct"/>
            <w:tcBorders>
              <w:top w:val="nil"/>
              <w:left w:val="nil"/>
              <w:bottom w:val="single" w:color="auto" w:sz="4" w:space="0"/>
              <w:right w:val="single" w:color="auto" w:sz="4" w:space="0"/>
            </w:tcBorders>
            <w:noWrap w:val="0"/>
            <w:vAlign w:val="center"/>
          </w:tcPr>
          <w:p w14:paraId="2B1FD5D6">
            <w:pPr>
              <w:widowControl/>
              <w:jc w:val="center"/>
              <w:rPr>
                <w:rFonts w:hint="eastAsia" w:ascii="仿宋" w:hAnsi="仿宋" w:eastAsia="仿宋" w:cs="仿宋"/>
              </w:rPr>
            </w:pPr>
            <w:r>
              <w:rPr>
                <w:rFonts w:hint="eastAsia" w:ascii="仿宋" w:hAnsi="仿宋" w:eastAsia="仿宋" w:cs="仿宋"/>
              </w:rPr>
              <w:t>≤40</w:t>
            </w:r>
            <w:r>
              <w:rPr>
                <w:rFonts w:hint="eastAsia" w:ascii="仿宋" w:hAnsi="仿宋" w:eastAsia="仿宋" w:cs="仿宋"/>
                <w:color w:val="000000"/>
              </w:rPr>
              <w:t>kW</w:t>
            </w:r>
          </w:p>
        </w:tc>
      </w:tr>
      <w:tr w14:paraId="25C756AD">
        <w:tblPrEx>
          <w:tblCellMar>
            <w:top w:w="0" w:type="dxa"/>
            <w:left w:w="108" w:type="dxa"/>
            <w:bottom w:w="0" w:type="dxa"/>
            <w:right w:w="108" w:type="dxa"/>
          </w:tblCellMar>
        </w:tblPrEx>
        <w:trPr>
          <w:trHeight w:val="270" w:hRule="atLeast"/>
          <w:jc w:val="center"/>
        </w:trPr>
        <w:tc>
          <w:tcPr>
            <w:tcW w:w="476" w:type="pct"/>
            <w:tcBorders>
              <w:top w:val="nil"/>
              <w:left w:val="single" w:color="auto" w:sz="4" w:space="0"/>
              <w:bottom w:val="single" w:color="auto" w:sz="4" w:space="0"/>
              <w:right w:val="single" w:color="auto" w:sz="4" w:space="0"/>
            </w:tcBorders>
            <w:noWrap w:val="0"/>
            <w:vAlign w:val="center"/>
          </w:tcPr>
          <w:p w14:paraId="5BDE0902">
            <w:pPr>
              <w:widowControl/>
              <w:jc w:val="center"/>
              <w:rPr>
                <w:rFonts w:hint="eastAsia" w:ascii="仿宋" w:hAnsi="仿宋" w:eastAsia="仿宋" w:cs="仿宋"/>
              </w:rPr>
            </w:pPr>
            <w:r>
              <w:rPr>
                <w:rFonts w:hint="eastAsia" w:ascii="仿宋" w:hAnsi="仿宋" w:eastAsia="仿宋" w:cs="仿宋"/>
              </w:rPr>
              <w:t>7</w:t>
            </w:r>
          </w:p>
        </w:tc>
        <w:tc>
          <w:tcPr>
            <w:tcW w:w="556" w:type="pct"/>
            <w:vMerge w:val="continue"/>
            <w:tcBorders>
              <w:top w:val="nil"/>
              <w:left w:val="single" w:color="auto" w:sz="4" w:space="0"/>
              <w:bottom w:val="single" w:color="auto" w:sz="4" w:space="0"/>
              <w:right w:val="single" w:color="auto" w:sz="4" w:space="0"/>
            </w:tcBorders>
            <w:noWrap w:val="0"/>
            <w:vAlign w:val="center"/>
          </w:tcPr>
          <w:p w14:paraId="18EF8A74">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4D8F89EE">
            <w:pPr>
              <w:widowControl/>
              <w:jc w:val="center"/>
              <w:rPr>
                <w:rFonts w:hint="eastAsia" w:ascii="仿宋" w:hAnsi="仿宋" w:eastAsia="仿宋" w:cs="仿宋"/>
              </w:rPr>
            </w:pPr>
            <w:r>
              <w:rPr>
                <w:rFonts w:hint="eastAsia" w:ascii="仿宋" w:hAnsi="仿宋" w:eastAsia="仿宋" w:cs="仿宋"/>
              </w:rPr>
              <w:t>输出电压设定误差</w:t>
            </w:r>
          </w:p>
        </w:tc>
        <w:tc>
          <w:tcPr>
            <w:tcW w:w="645" w:type="pct"/>
            <w:tcBorders>
              <w:top w:val="nil"/>
              <w:left w:val="nil"/>
              <w:bottom w:val="single" w:color="auto" w:sz="4" w:space="0"/>
              <w:right w:val="single" w:color="auto" w:sz="4" w:space="0"/>
            </w:tcBorders>
            <w:noWrap w:val="0"/>
            <w:vAlign w:val="center"/>
          </w:tcPr>
          <w:p w14:paraId="6505F719">
            <w:pPr>
              <w:widowControl/>
              <w:jc w:val="center"/>
              <w:rPr>
                <w:rFonts w:hint="eastAsia" w:ascii="仿宋" w:hAnsi="仿宋" w:eastAsia="仿宋" w:cs="仿宋"/>
              </w:rPr>
            </w:pPr>
            <w:r>
              <w:rPr>
                <w:rFonts w:hint="eastAsia" w:ascii="仿宋" w:hAnsi="仿宋" w:eastAsia="仿宋" w:cs="仿宋"/>
              </w:rPr>
              <w:t>%</w:t>
            </w:r>
          </w:p>
        </w:tc>
        <w:tc>
          <w:tcPr>
            <w:tcW w:w="1706" w:type="pct"/>
            <w:tcBorders>
              <w:top w:val="nil"/>
              <w:left w:val="nil"/>
              <w:bottom w:val="single" w:color="auto" w:sz="4" w:space="0"/>
              <w:right w:val="single" w:color="auto" w:sz="4" w:space="0"/>
            </w:tcBorders>
            <w:noWrap w:val="0"/>
            <w:vAlign w:val="center"/>
          </w:tcPr>
          <w:p w14:paraId="52A66758">
            <w:pPr>
              <w:widowControl/>
              <w:jc w:val="center"/>
              <w:rPr>
                <w:rFonts w:hint="eastAsia" w:ascii="仿宋" w:hAnsi="仿宋" w:eastAsia="仿宋" w:cs="仿宋"/>
              </w:rPr>
            </w:pPr>
            <w:r>
              <w:rPr>
                <w:rFonts w:hint="eastAsia" w:ascii="仿宋" w:hAnsi="仿宋" w:eastAsia="仿宋" w:cs="仿宋"/>
              </w:rPr>
              <w:t>不超过±0.5</w:t>
            </w:r>
          </w:p>
        </w:tc>
      </w:tr>
      <w:tr w14:paraId="0A2CC092">
        <w:tblPrEx>
          <w:tblCellMar>
            <w:top w:w="0" w:type="dxa"/>
            <w:left w:w="108" w:type="dxa"/>
            <w:bottom w:w="0" w:type="dxa"/>
            <w:right w:w="108" w:type="dxa"/>
          </w:tblCellMar>
        </w:tblPrEx>
        <w:trPr>
          <w:trHeight w:val="450" w:hRule="atLeast"/>
          <w:jc w:val="center"/>
        </w:trPr>
        <w:tc>
          <w:tcPr>
            <w:tcW w:w="476" w:type="pct"/>
            <w:tcBorders>
              <w:top w:val="nil"/>
              <w:left w:val="single" w:color="auto" w:sz="4" w:space="0"/>
              <w:bottom w:val="single" w:color="auto" w:sz="4" w:space="0"/>
              <w:right w:val="single" w:color="auto" w:sz="4" w:space="0"/>
            </w:tcBorders>
            <w:noWrap w:val="0"/>
            <w:vAlign w:val="center"/>
          </w:tcPr>
          <w:p w14:paraId="43A2A029">
            <w:pPr>
              <w:widowControl/>
              <w:jc w:val="center"/>
              <w:rPr>
                <w:rFonts w:hint="eastAsia" w:ascii="仿宋" w:hAnsi="仿宋" w:eastAsia="仿宋" w:cs="仿宋"/>
              </w:rPr>
            </w:pPr>
            <w:r>
              <w:rPr>
                <w:rFonts w:hint="eastAsia" w:ascii="仿宋" w:hAnsi="仿宋" w:eastAsia="仿宋" w:cs="仿宋"/>
              </w:rPr>
              <w:t>8</w:t>
            </w:r>
          </w:p>
        </w:tc>
        <w:tc>
          <w:tcPr>
            <w:tcW w:w="556" w:type="pct"/>
            <w:vMerge w:val="continue"/>
            <w:tcBorders>
              <w:top w:val="nil"/>
              <w:left w:val="single" w:color="auto" w:sz="4" w:space="0"/>
              <w:bottom w:val="single" w:color="auto" w:sz="4" w:space="0"/>
              <w:right w:val="single" w:color="auto" w:sz="4" w:space="0"/>
            </w:tcBorders>
            <w:noWrap w:val="0"/>
            <w:vAlign w:val="center"/>
          </w:tcPr>
          <w:p w14:paraId="03BB83D6">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6DA9B1CD">
            <w:pPr>
              <w:widowControl/>
              <w:jc w:val="center"/>
              <w:rPr>
                <w:rFonts w:hint="eastAsia" w:ascii="仿宋" w:hAnsi="仿宋" w:eastAsia="仿宋" w:cs="仿宋"/>
              </w:rPr>
            </w:pPr>
            <w:r>
              <w:rPr>
                <w:rFonts w:hint="eastAsia" w:ascii="仿宋" w:hAnsi="仿宋" w:eastAsia="仿宋" w:cs="仿宋"/>
              </w:rPr>
              <w:t>输出电流设定误差</w:t>
            </w:r>
          </w:p>
        </w:tc>
        <w:tc>
          <w:tcPr>
            <w:tcW w:w="645" w:type="pct"/>
            <w:tcBorders>
              <w:top w:val="nil"/>
              <w:left w:val="nil"/>
              <w:bottom w:val="single" w:color="auto" w:sz="4" w:space="0"/>
              <w:right w:val="single" w:color="auto" w:sz="4" w:space="0"/>
            </w:tcBorders>
            <w:noWrap w:val="0"/>
            <w:vAlign w:val="center"/>
          </w:tcPr>
          <w:p w14:paraId="5CAD1C4E">
            <w:pPr>
              <w:widowControl/>
              <w:jc w:val="center"/>
              <w:rPr>
                <w:rFonts w:hint="eastAsia" w:ascii="仿宋" w:hAnsi="仿宋" w:eastAsia="仿宋" w:cs="仿宋"/>
              </w:rPr>
            </w:pPr>
          </w:p>
        </w:tc>
        <w:tc>
          <w:tcPr>
            <w:tcW w:w="1706" w:type="pct"/>
            <w:tcBorders>
              <w:top w:val="nil"/>
              <w:left w:val="nil"/>
              <w:bottom w:val="single" w:color="auto" w:sz="4" w:space="0"/>
              <w:right w:val="single" w:color="auto" w:sz="4" w:space="0"/>
            </w:tcBorders>
            <w:noWrap w:val="0"/>
            <w:vAlign w:val="center"/>
          </w:tcPr>
          <w:p w14:paraId="5E051B29">
            <w:pPr>
              <w:widowControl/>
              <w:jc w:val="center"/>
              <w:rPr>
                <w:rFonts w:hint="eastAsia" w:ascii="仿宋" w:hAnsi="仿宋" w:eastAsia="仿宋" w:cs="仿宋"/>
              </w:rPr>
            </w:pPr>
            <w:r>
              <w:rPr>
                <w:rFonts w:hint="eastAsia" w:ascii="仿宋" w:hAnsi="仿宋" w:eastAsia="仿宋" w:cs="仿宋"/>
              </w:rPr>
              <w:t>≥30A：不超过±1%</w:t>
            </w:r>
          </w:p>
          <w:p w14:paraId="4E0F81BB">
            <w:pPr>
              <w:widowControl/>
              <w:jc w:val="center"/>
              <w:rPr>
                <w:rFonts w:hint="eastAsia" w:ascii="仿宋" w:hAnsi="仿宋" w:eastAsia="仿宋" w:cs="仿宋"/>
              </w:rPr>
            </w:pPr>
            <w:r>
              <w:rPr>
                <w:rFonts w:hint="eastAsia" w:ascii="仿宋" w:hAnsi="仿宋" w:eastAsia="仿宋" w:cs="仿宋"/>
              </w:rPr>
              <w:t>＜30A：不超过±0.3A</w:t>
            </w:r>
          </w:p>
        </w:tc>
      </w:tr>
      <w:tr w14:paraId="7787539C">
        <w:tblPrEx>
          <w:tblCellMar>
            <w:top w:w="0" w:type="dxa"/>
            <w:left w:w="108" w:type="dxa"/>
            <w:bottom w:w="0" w:type="dxa"/>
            <w:right w:w="108" w:type="dxa"/>
          </w:tblCellMar>
        </w:tblPrEx>
        <w:trPr>
          <w:trHeight w:val="270" w:hRule="atLeast"/>
          <w:jc w:val="center"/>
        </w:trPr>
        <w:tc>
          <w:tcPr>
            <w:tcW w:w="476" w:type="pct"/>
            <w:tcBorders>
              <w:top w:val="nil"/>
              <w:left w:val="single" w:color="auto" w:sz="4" w:space="0"/>
              <w:bottom w:val="single" w:color="auto" w:sz="4" w:space="0"/>
              <w:right w:val="single" w:color="auto" w:sz="4" w:space="0"/>
            </w:tcBorders>
            <w:noWrap w:val="0"/>
            <w:vAlign w:val="center"/>
          </w:tcPr>
          <w:p w14:paraId="6206A6DA">
            <w:pPr>
              <w:widowControl/>
              <w:jc w:val="center"/>
              <w:rPr>
                <w:rFonts w:hint="eastAsia" w:ascii="仿宋" w:hAnsi="仿宋" w:eastAsia="仿宋" w:cs="仿宋"/>
              </w:rPr>
            </w:pPr>
            <w:r>
              <w:rPr>
                <w:rFonts w:hint="eastAsia" w:ascii="仿宋" w:hAnsi="仿宋" w:eastAsia="仿宋" w:cs="仿宋"/>
              </w:rPr>
              <w:t>9</w:t>
            </w:r>
          </w:p>
        </w:tc>
        <w:tc>
          <w:tcPr>
            <w:tcW w:w="556" w:type="pct"/>
            <w:vMerge w:val="continue"/>
            <w:tcBorders>
              <w:top w:val="nil"/>
              <w:left w:val="single" w:color="auto" w:sz="4" w:space="0"/>
              <w:bottom w:val="single" w:color="auto" w:sz="4" w:space="0"/>
              <w:right w:val="single" w:color="auto" w:sz="4" w:space="0"/>
            </w:tcBorders>
            <w:noWrap w:val="0"/>
            <w:vAlign w:val="center"/>
          </w:tcPr>
          <w:p w14:paraId="081EF566">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1A227182">
            <w:pPr>
              <w:widowControl/>
              <w:jc w:val="center"/>
              <w:rPr>
                <w:rFonts w:hint="eastAsia" w:ascii="仿宋" w:hAnsi="仿宋" w:eastAsia="仿宋" w:cs="仿宋"/>
              </w:rPr>
            </w:pPr>
            <w:r>
              <w:rPr>
                <w:rFonts w:hint="eastAsia" w:ascii="仿宋" w:hAnsi="仿宋" w:eastAsia="仿宋" w:cs="仿宋"/>
              </w:rPr>
              <w:t>稳压精度</w:t>
            </w:r>
          </w:p>
        </w:tc>
        <w:tc>
          <w:tcPr>
            <w:tcW w:w="645" w:type="pct"/>
            <w:tcBorders>
              <w:top w:val="nil"/>
              <w:left w:val="nil"/>
              <w:bottom w:val="single" w:color="auto" w:sz="4" w:space="0"/>
              <w:right w:val="single" w:color="auto" w:sz="4" w:space="0"/>
            </w:tcBorders>
            <w:noWrap w:val="0"/>
            <w:vAlign w:val="center"/>
          </w:tcPr>
          <w:p w14:paraId="5BA7C8C9">
            <w:pPr>
              <w:widowControl/>
              <w:jc w:val="center"/>
              <w:rPr>
                <w:rFonts w:hint="eastAsia" w:ascii="仿宋" w:hAnsi="仿宋" w:eastAsia="仿宋" w:cs="仿宋"/>
              </w:rPr>
            </w:pPr>
            <w:r>
              <w:rPr>
                <w:rFonts w:hint="eastAsia" w:ascii="仿宋" w:hAnsi="仿宋" w:eastAsia="仿宋" w:cs="仿宋"/>
              </w:rPr>
              <w:t>%</w:t>
            </w:r>
          </w:p>
        </w:tc>
        <w:tc>
          <w:tcPr>
            <w:tcW w:w="1706" w:type="pct"/>
            <w:tcBorders>
              <w:top w:val="nil"/>
              <w:left w:val="nil"/>
              <w:bottom w:val="single" w:color="auto" w:sz="4" w:space="0"/>
              <w:right w:val="single" w:color="auto" w:sz="4" w:space="0"/>
            </w:tcBorders>
            <w:noWrap w:val="0"/>
            <w:vAlign w:val="center"/>
          </w:tcPr>
          <w:p w14:paraId="3B0631C9">
            <w:pPr>
              <w:widowControl/>
              <w:jc w:val="center"/>
              <w:rPr>
                <w:rFonts w:hint="eastAsia" w:ascii="仿宋" w:hAnsi="仿宋" w:eastAsia="仿宋" w:cs="仿宋"/>
              </w:rPr>
            </w:pPr>
            <w:r>
              <w:rPr>
                <w:rFonts w:hint="eastAsia" w:ascii="仿宋" w:hAnsi="仿宋" w:eastAsia="仿宋" w:cs="仿宋"/>
              </w:rPr>
              <w:t>不超过±0.5</w:t>
            </w:r>
          </w:p>
        </w:tc>
      </w:tr>
      <w:tr w14:paraId="4D6AB545">
        <w:tblPrEx>
          <w:tblCellMar>
            <w:top w:w="0" w:type="dxa"/>
            <w:left w:w="108" w:type="dxa"/>
            <w:bottom w:w="0" w:type="dxa"/>
            <w:right w:w="108" w:type="dxa"/>
          </w:tblCellMar>
        </w:tblPrEx>
        <w:trPr>
          <w:trHeight w:val="270" w:hRule="atLeast"/>
          <w:jc w:val="center"/>
        </w:trPr>
        <w:tc>
          <w:tcPr>
            <w:tcW w:w="476" w:type="pct"/>
            <w:tcBorders>
              <w:top w:val="nil"/>
              <w:left w:val="single" w:color="auto" w:sz="4" w:space="0"/>
              <w:bottom w:val="single" w:color="auto" w:sz="4" w:space="0"/>
              <w:right w:val="single" w:color="auto" w:sz="4" w:space="0"/>
            </w:tcBorders>
            <w:noWrap w:val="0"/>
            <w:vAlign w:val="center"/>
          </w:tcPr>
          <w:p w14:paraId="0E874DBC">
            <w:pPr>
              <w:widowControl/>
              <w:jc w:val="center"/>
              <w:rPr>
                <w:rFonts w:hint="eastAsia" w:ascii="仿宋" w:hAnsi="仿宋" w:eastAsia="仿宋" w:cs="仿宋"/>
              </w:rPr>
            </w:pPr>
            <w:r>
              <w:rPr>
                <w:rFonts w:hint="eastAsia" w:ascii="仿宋" w:hAnsi="仿宋" w:eastAsia="仿宋" w:cs="仿宋"/>
              </w:rPr>
              <w:t>10</w:t>
            </w:r>
          </w:p>
        </w:tc>
        <w:tc>
          <w:tcPr>
            <w:tcW w:w="556" w:type="pct"/>
            <w:vMerge w:val="continue"/>
            <w:tcBorders>
              <w:top w:val="nil"/>
              <w:left w:val="single" w:color="auto" w:sz="4" w:space="0"/>
              <w:bottom w:val="single" w:color="auto" w:sz="4" w:space="0"/>
              <w:right w:val="single" w:color="auto" w:sz="4" w:space="0"/>
            </w:tcBorders>
            <w:noWrap w:val="0"/>
            <w:vAlign w:val="center"/>
          </w:tcPr>
          <w:p w14:paraId="17B81F1E">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4D5FEDBD">
            <w:pPr>
              <w:widowControl/>
              <w:jc w:val="center"/>
              <w:rPr>
                <w:rFonts w:hint="eastAsia" w:ascii="仿宋" w:hAnsi="仿宋" w:eastAsia="仿宋" w:cs="仿宋"/>
              </w:rPr>
            </w:pPr>
            <w:r>
              <w:rPr>
                <w:rFonts w:hint="eastAsia" w:ascii="仿宋" w:hAnsi="仿宋" w:eastAsia="仿宋" w:cs="仿宋"/>
              </w:rPr>
              <w:t>稳流精度</w:t>
            </w:r>
          </w:p>
        </w:tc>
        <w:tc>
          <w:tcPr>
            <w:tcW w:w="645" w:type="pct"/>
            <w:tcBorders>
              <w:top w:val="nil"/>
              <w:left w:val="nil"/>
              <w:bottom w:val="single" w:color="auto" w:sz="4" w:space="0"/>
              <w:right w:val="single" w:color="auto" w:sz="4" w:space="0"/>
            </w:tcBorders>
            <w:noWrap w:val="0"/>
            <w:vAlign w:val="center"/>
          </w:tcPr>
          <w:p w14:paraId="2088A6F5">
            <w:pPr>
              <w:widowControl/>
              <w:jc w:val="center"/>
              <w:rPr>
                <w:rFonts w:hint="eastAsia" w:ascii="仿宋" w:hAnsi="仿宋" w:eastAsia="仿宋" w:cs="仿宋"/>
              </w:rPr>
            </w:pPr>
            <w:r>
              <w:rPr>
                <w:rFonts w:hint="eastAsia" w:ascii="仿宋" w:hAnsi="仿宋" w:eastAsia="仿宋" w:cs="仿宋"/>
              </w:rPr>
              <w:t>%</w:t>
            </w:r>
          </w:p>
        </w:tc>
        <w:tc>
          <w:tcPr>
            <w:tcW w:w="1706" w:type="pct"/>
            <w:tcBorders>
              <w:top w:val="nil"/>
              <w:left w:val="nil"/>
              <w:bottom w:val="single" w:color="auto" w:sz="4" w:space="0"/>
              <w:right w:val="single" w:color="auto" w:sz="4" w:space="0"/>
            </w:tcBorders>
            <w:noWrap w:val="0"/>
            <w:vAlign w:val="center"/>
          </w:tcPr>
          <w:p w14:paraId="2C64A38E">
            <w:pPr>
              <w:widowControl/>
              <w:jc w:val="center"/>
              <w:rPr>
                <w:rFonts w:hint="eastAsia" w:ascii="仿宋" w:hAnsi="仿宋" w:eastAsia="仿宋" w:cs="仿宋"/>
              </w:rPr>
            </w:pPr>
            <w:r>
              <w:rPr>
                <w:rFonts w:hint="eastAsia" w:ascii="仿宋" w:hAnsi="仿宋" w:eastAsia="仿宋" w:cs="仿宋"/>
              </w:rPr>
              <w:t>不超过±1</w:t>
            </w:r>
          </w:p>
        </w:tc>
      </w:tr>
      <w:tr w14:paraId="4489298E">
        <w:tblPrEx>
          <w:tblCellMar>
            <w:top w:w="0" w:type="dxa"/>
            <w:left w:w="108" w:type="dxa"/>
            <w:bottom w:w="0" w:type="dxa"/>
            <w:right w:w="108" w:type="dxa"/>
          </w:tblCellMar>
        </w:tblPrEx>
        <w:trPr>
          <w:trHeight w:val="450" w:hRule="atLeast"/>
          <w:jc w:val="center"/>
        </w:trPr>
        <w:tc>
          <w:tcPr>
            <w:tcW w:w="476" w:type="pct"/>
            <w:tcBorders>
              <w:top w:val="nil"/>
              <w:left w:val="single" w:color="auto" w:sz="4" w:space="0"/>
              <w:bottom w:val="single" w:color="auto" w:sz="4" w:space="0"/>
              <w:right w:val="single" w:color="auto" w:sz="4" w:space="0"/>
            </w:tcBorders>
            <w:noWrap w:val="0"/>
            <w:vAlign w:val="center"/>
          </w:tcPr>
          <w:p w14:paraId="4F63D448">
            <w:pPr>
              <w:widowControl/>
              <w:jc w:val="center"/>
              <w:rPr>
                <w:rFonts w:hint="eastAsia" w:ascii="仿宋" w:hAnsi="仿宋" w:eastAsia="仿宋" w:cs="仿宋"/>
              </w:rPr>
            </w:pPr>
            <w:r>
              <w:rPr>
                <w:rFonts w:hint="eastAsia" w:ascii="仿宋" w:hAnsi="仿宋" w:eastAsia="仿宋" w:cs="仿宋"/>
              </w:rPr>
              <w:t>11</w:t>
            </w:r>
          </w:p>
        </w:tc>
        <w:tc>
          <w:tcPr>
            <w:tcW w:w="556" w:type="pct"/>
            <w:vMerge w:val="continue"/>
            <w:tcBorders>
              <w:top w:val="nil"/>
              <w:left w:val="single" w:color="auto" w:sz="4" w:space="0"/>
              <w:bottom w:val="single" w:color="auto" w:sz="4" w:space="0"/>
              <w:right w:val="single" w:color="auto" w:sz="4" w:space="0"/>
            </w:tcBorders>
            <w:noWrap w:val="0"/>
            <w:vAlign w:val="center"/>
          </w:tcPr>
          <w:p w14:paraId="04CA051E">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596D2036">
            <w:pPr>
              <w:widowControl/>
              <w:jc w:val="center"/>
              <w:rPr>
                <w:rFonts w:hint="eastAsia" w:ascii="仿宋" w:hAnsi="仿宋" w:eastAsia="仿宋" w:cs="仿宋"/>
              </w:rPr>
            </w:pPr>
            <w:r>
              <w:rPr>
                <w:rFonts w:hint="eastAsia" w:ascii="仿宋" w:hAnsi="仿宋" w:eastAsia="仿宋" w:cs="仿宋"/>
              </w:rPr>
              <w:t>均流不平衡度</w:t>
            </w:r>
          </w:p>
        </w:tc>
        <w:tc>
          <w:tcPr>
            <w:tcW w:w="645" w:type="pct"/>
            <w:tcBorders>
              <w:top w:val="nil"/>
              <w:left w:val="nil"/>
              <w:bottom w:val="single" w:color="auto" w:sz="4" w:space="0"/>
              <w:right w:val="single" w:color="auto" w:sz="4" w:space="0"/>
            </w:tcBorders>
            <w:noWrap w:val="0"/>
            <w:vAlign w:val="center"/>
          </w:tcPr>
          <w:p w14:paraId="2AB9132F">
            <w:pPr>
              <w:widowControl/>
              <w:jc w:val="center"/>
              <w:rPr>
                <w:rFonts w:hint="eastAsia" w:ascii="仿宋" w:hAnsi="仿宋" w:eastAsia="仿宋" w:cs="仿宋"/>
              </w:rPr>
            </w:pPr>
            <w:r>
              <w:rPr>
                <w:rFonts w:hint="eastAsia" w:ascii="仿宋" w:hAnsi="仿宋" w:eastAsia="仿宋" w:cs="仿宋"/>
              </w:rPr>
              <w:t>%</w:t>
            </w:r>
          </w:p>
        </w:tc>
        <w:tc>
          <w:tcPr>
            <w:tcW w:w="1706" w:type="pct"/>
            <w:tcBorders>
              <w:top w:val="nil"/>
              <w:left w:val="nil"/>
              <w:bottom w:val="single" w:color="auto" w:sz="4" w:space="0"/>
              <w:right w:val="single" w:color="auto" w:sz="4" w:space="0"/>
            </w:tcBorders>
            <w:noWrap w:val="0"/>
            <w:vAlign w:val="center"/>
          </w:tcPr>
          <w:p w14:paraId="3E3F69C6">
            <w:pPr>
              <w:widowControl/>
              <w:jc w:val="center"/>
              <w:rPr>
                <w:rFonts w:hint="eastAsia" w:ascii="仿宋" w:hAnsi="仿宋" w:eastAsia="仿宋" w:cs="仿宋"/>
              </w:rPr>
            </w:pPr>
            <w:r>
              <w:rPr>
                <w:rFonts w:hint="eastAsia" w:ascii="仿宋" w:hAnsi="仿宋" w:eastAsia="仿宋" w:cs="仿宋"/>
              </w:rPr>
              <w:t>≤0.5%</w:t>
            </w:r>
          </w:p>
        </w:tc>
      </w:tr>
      <w:tr w14:paraId="785415E1">
        <w:tblPrEx>
          <w:tblCellMar>
            <w:top w:w="0" w:type="dxa"/>
            <w:left w:w="108" w:type="dxa"/>
            <w:bottom w:w="0" w:type="dxa"/>
            <w:right w:w="108" w:type="dxa"/>
          </w:tblCellMar>
        </w:tblPrEx>
        <w:trPr>
          <w:trHeight w:val="270" w:hRule="atLeast"/>
          <w:jc w:val="center"/>
        </w:trPr>
        <w:tc>
          <w:tcPr>
            <w:tcW w:w="476" w:type="pct"/>
            <w:tcBorders>
              <w:top w:val="nil"/>
              <w:left w:val="single" w:color="auto" w:sz="4" w:space="0"/>
              <w:bottom w:val="single" w:color="auto" w:sz="4" w:space="0"/>
              <w:right w:val="single" w:color="auto" w:sz="4" w:space="0"/>
            </w:tcBorders>
            <w:noWrap w:val="0"/>
            <w:vAlign w:val="center"/>
          </w:tcPr>
          <w:p w14:paraId="4720B95E">
            <w:pPr>
              <w:widowControl/>
              <w:jc w:val="center"/>
              <w:rPr>
                <w:rFonts w:hint="eastAsia" w:ascii="仿宋" w:hAnsi="仿宋" w:eastAsia="仿宋" w:cs="仿宋"/>
              </w:rPr>
            </w:pPr>
            <w:r>
              <w:rPr>
                <w:rFonts w:hint="eastAsia" w:ascii="仿宋" w:hAnsi="仿宋" w:eastAsia="仿宋" w:cs="仿宋"/>
              </w:rPr>
              <w:t>12</w:t>
            </w:r>
          </w:p>
        </w:tc>
        <w:tc>
          <w:tcPr>
            <w:tcW w:w="556" w:type="pct"/>
            <w:vMerge w:val="continue"/>
            <w:tcBorders>
              <w:top w:val="nil"/>
              <w:left w:val="single" w:color="auto" w:sz="4" w:space="0"/>
              <w:bottom w:val="single" w:color="auto" w:sz="4" w:space="0"/>
              <w:right w:val="single" w:color="auto" w:sz="4" w:space="0"/>
            </w:tcBorders>
            <w:noWrap w:val="0"/>
            <w:vAlign w:val="center"/>
          </w:tcPr>
          <w:p w14:paraId="487CD316">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3E9ADF79">
            <w:pPr>
              <w:widowControl/>
              <w:jc w:val="center"/>
              <w:rPr>
                <w:rFonts w:hint="eastAsia" w:ascii="仿宋" w:hAnsi="仿宋" w:eastAsia="仿宋" w:cs="仿宋"/>
              </w:rPr>
            </w:pPr>
            <w:r>
              <w:rPr>
                <w:rFonts w:hint="eastAsia" w:ascii="仿宋" w:hAnsi="仿宋" w:eastAsia="仿宋" w:cs="仿宋"/>
              </w:rPr>
              <w:t>待机功耗</w:t>
            </w:r>
          </w:p>
        </w:tc>
        <w:tc>
          <w:tcPr>
            <w:tcW w:w="645" w:type="pct"/>
            <w:tcBorders>
              <w:top w:val="nil"/>
              <w:left w:val="nil"/>
              <w:bottom w:val="single" w:color="auto" w:sz="4" w:space="0"/>
              <w:right w:val="single" w:color="auto" w:sz="4" w:space="0"/>
            </w:tcBorders>
            <w:noWrap w:val="0"/>
            <w:vAlign w:val="center"/>
          </w:tcPr>
          <w:p w14:paraId="57CE27AD">
            <w:pPr>
              <w:widowControl/>
              <w:jc w:val="center"/>
              <w:rPr>
                <w:rFonts w:hint="eastAsia" w:ascii="仿宋" w:hAnsi="仿宋" w:eastAsia="仿宋" w:cs="仿宋"/>
              </w:rPr>
            </w:pPr>
            <w:r>
              <w:rPr>
                <w:rFonts w:hint="eastAsia" w:ascii="仿宋" w:hAnsi="仿宋" w:eastAsia="仿宋" w:cs="仿宋"/>
              </w:rPr>
              <w:t>W</w:t>
            </w:r>
          </w:p>
        </w:tc>
        <w:tc>
          <w:tcPr>
            <w:tcW w:w="1706" w:type="pct"/>
            <w:tcBorders>
              <w:top w:val="nil"/>
              <w:left w:val="nil"/>
              <w:bottom w:val="single" w:color="auto" w:sz="4" w:space="0"/>
              <w:right w:val="single" w:color="auto" w:sz="4" w:space="0"/>
            </w:tcBorders>
            <w:noWrap w:val="0"/>
            <w:vAlign w:val="center"/>
          </w:tcPr>
          <w:p w14:paraId="436D31A7">
            <w:pPr>
              <w:widowControl/>
              <w:jc w:val="center"/>
              <w:rPr>
                <w:rFonts w:hint="eastAsia" w:ascii="仿宋" w:hAnsi="仿宋" w:eastAsia="仿宋" w:cs="仿宋"/>
              </w:rPr>
            </w:pPr>
            <w:r>
              <w:rPr>
                <w:rFonts w:hint="eastAsia" w:ascii="仿宋" w:hAnsi="仿宋" w:eastAsia="仿宋" w:cs="仿宋"/>
              </w:rPr>
              <w:t>单枪口≤5W</w:t>
            </w:r>
          </w:p>
        </w:tc>
      </w:tr>
      <w:tr w14:paraId="585CF5BD">
        <w:tblPrEx>
          <w:tblCellMar>
            <w:top w:w="0" w:type="dxa"/>
            <w:left w:w="108" w:type="dxa"/>
            <w:bottom w:w="0" w:type="dxa"/>
            <w:right w:w="108" w:type="dxa"/>
          </w:tblCellMar>
        </w:tblPrEx>
        <w:trPr>
          <w:trHeight w:val="270" w:hRule="atLeast"/>
          <w:jc w:val="center"/>
        </w:trPr>
        <w:tc>
          <w:tcPr>
            <w:tcW w:w="476" w:type="pct"/>
            <w:tcBorders>
              <w:top w:val="nil"/>
              <w:left w:val="single" w:color="auto" w:sz="4" w:space="0"/>
              <w:bottom w:val="single" w:color="auto" w:sz="4" w:space="0"/>
              <w:right w:val="single" w:color="auto" w:sz="4" w:space="0"/>
            </w:tcBorders>
            <w:noWrap w:val="0"/>
            <w:vAlign w:val="center"/>
          </w:tcPr>
          <w:p w14:paraId="0AFADBDC">
            <w:pPr>
              <w:widowControl/>
              <w:jc w:val="center"/>
              <w:rPr>
                <w:rFonts w:hint="eastAsia" w:ascii="仿宋" w:hAnsi="仿宋" w:eastAsia="仿宋" w:cs="仿宋"/>
              </w:rPr>
            </w:pPr>
            <w:r>
              <w:rPr>
                <w:rFonts w:hint="eastAsia" w:ascii="仿宋" w:hAnsi="仿宋" w:eastAsia="仿宋" w:cs="仿宋"/>
              </w:rPr>
              <w:t>13</w:t>
            </w:r>
          </w:p>
        </w:tc>
        <w:tc>
          <w:tcPr>
            <w:tcW w:w="556" w:type="pct"/>
            <w:vMerge w:val="continue"/>
            <w:tcBorders>
              <w:top w:val="nil"/>
              <w:left w:val="single" w:color="auto" w:sz="4" w:space="0"/>
              <w:bottom w:val="single" w:color="auto" w:sz="4" w:space="0"/>
              <w:right w:val="single" w:color="auto" w:sz="4" w:space="0"/>
            </w:tcBorders>
            <w:noWrap w:val="0"/>
            <w:vAlign w:val="center"/>
          </w:tcPr>
          <w:p w14:paraId="4C6EA83B">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459371E5">
            <w:pPr>
              <w:widowControl/>
              <w:jc w:val="center"/>
              <w:rPr>
                <w:rFonts w:hint="eastAsia" w:ascii="仿宋" w:hAnsi="仿宋" w:eastAsia="仿宋" w:cs="仿宋"/>
              </w:rPr>
            </w:pPr>
            <w:r>
              <w:rPr>
                <w:rFonts w:hint="eastAsia" w:ascii="仿宋" w:hAnsi="仿宋" w:eastAsia="仿宋" w:cs="仿宋"/>
              </w:rPr>
              <w:t>输入冲击电流</w:t>
            </w:r>
          </w:p>
        </w:tc>
        <w:tc>
          <w:tcPr>
            <w:tcW w:w="645" w:type="pct"/>
            <w:tcBorders>
              <w:top w:val="nil"/>
              <w:left w:val="nil"/>
              <w:bottom w:val="single" w:color="auto" w:sz="4" w:space="0"/>
              <w:right w:val="single" w:color="auto" w:sz="4" w:space="0"/>
            </w:tcBorders>
            <w:noWrap w:val="0"/>
            <w:vAlign w:val="center"/>
          </w:tcPr>
          <w:p w14:paraId="52BF3AD0">
            <w:pPr>
              <w:widowControl/>
              <w:jc w:val="center"/>
              <w:rPr>
                <w:rFonts w:hint="eastAsia" w:ascii="仿宋" w:hAnsi="仿宋" w:eastAsia="仿宋" w:cs="仿宋"/>
              </w:rPr>
            </w:pPr>
            <w:r>
              <w:rPr>
                <w:rFonts w:hint="eastAsia" w:ascii="仿宋" w:hAnsi="仿宋" w:eastAsia="仿宋" w:cs="仿宋"/>
              </w:rPr>
              <w:t>A</w:t>
            </w:r>
          </w:p>
        </w:tc>
        <w:tc>
          <w:tcPr>
            <w:tcW w:w="1706" w:type="pct"/>
            <w:tcBorders>
              <w:top w:val="nil"/>
              <w:left w:val="nil"/>
              <w:bottom w:val="single" w:color="auto" w:sz="4" w:space="0"/>
              <w:right w:val="single" w:color="auto" w:sz="4" w:space="0"/>
            </w:tcBorders>
            <w:noWrap w:val="0"/>
            <w:vAlign w:val="center"/>
          </w:tcPr>
          <w:p w14:paraId="1DF2A430">
            <w:pPr>
              <w:widowControl/>
              <w:jc w:val="center"/>
              <w:rPr>
                <w:rFonts w:hint="eastAsia" w:ascii="仿宋" w:hAnsi="仿宋" w:eastAsia="仿宋" w:cs="仿宋"/>
              </w:rPr>
            </w:pPr>
            <w:r>
              <w:rPr>
                <w:rFonts w:hint="eastAsia" w:ascii="仿宋" w:hAnsi="仿宋" w:eastAsia="仿宋" w:cs="仿宋"/>
              </w:rPr>
              <w:t>≤120%额定输入电流</w:t>
            </w:r>
          </w:p>
        </w:tc>
      </w:tr>
      <w:tr w14:paraId="7F6E8406">
        <w:tblPrEx>
          <w:tblCellMar>
            <w:top w:w="0" w:type="dxa"/>
            <w:left w:w="108" w:type="dxa"/>
            <w:bottom w:w="0" w:type="dxa"/>
            <w:right w:w="108" w:type="dxa"/>
          </w:tblCellMar>
        </w:tblPrEx>
        <w:trPr>
          <w:trHeight w:val="270" w:hRule="atLeast"/>
          <w:jc w:val="center"/>
        </w:trPr>
        <w:tc>
          <w:tcPr>
            <w:tcW w:w="476" w:type="pct"/>
            <w:tcBorders>
              <w:top w:val="nil"/>
              <w:left w:val="single" w:color="auto" w:sz="4" w:space="0"/>
              <w:bottom w:val="single" w:color="auto" w:sz="4" w:space="0"/>
              <w:right w:val="single" w:color="auto" w:sz="4" w:space="0"/>
            </w:tcBorders>
            <w:noWrap w:val="0"/>
            <w:vAlign w:val="center"/>
          </w:tcPr>
          <w:p w14:paraId="36600B1F">
            <w:pPr>
              <w:widowControl/>
              <w:jc w:val="center"/>
              <w:rPr>
                <w:rFonts w:hint="eastAsia" w:ascii="仿宋" w:hAnsi="仿宋" w:eastAsia="仿宋" w:cs="仿宋"/>
              </w:rPr>
            </w:pPr>
            <w:r>
              <w:rPr>
                <w:rFonts w:hint="eastAsia" w:ascii="仿宋" w:hAnsi="仿宋" w:eastAsia="仿宋" w:cs="仿宋"/>
              </w:rPr>
              <w:t>14</w:t>
            </w:r>
          </w:p>
        </w:tc>
        <w:tc>
          <w:tcPr>
            <w:tcW w:w="556" w:type="pct"/>
            <w:vMerge w:val="continue"/>
            <w:tcBorders>
              <w:top w:val="nil"/>
              <w:left w:val="single" w:color="auto" w:sz="4" w:space="0"/>
              <w:bottom w:val="single" w:color="auto" w:sz="4" w:space="0"/>
              <w:right w:val="single" w:color="auto" w:sz="4" w:space="0"/>
            </w:tcBorders>
            <w:noWrap w:val="0"/>
            <w:vAlign w:val="center"/>
          </w:tcPr>
          <w:p w14:paraId="0DA4390F">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2B30E4F9">
            <w:pPr>
              <w:widowControl/>
              <w:jc w:val="center"/>
              <w:rPr>
                <w:rFonts w:hint="eastAsia" w:ascii="仿宋" w:hAnsi="仿宋" w:eastAsia="仿宋" w:cs="仿宋"/>
              </w:rPr>
            </w:pPr>
            <w:r>
              <w:rPr>
                <w:rFonts w:hint="eastAsia" w:ascii="仿宋" w:hAnsi="仿宋" w:eastAsia="仿宋" w:cs="仿宋"/>
              </w:rPr>
              <w:t>输出过冲电压</w:t>
            </w:r>
          </w:p>
        </w:tc>
        <w:tc>
          <w:tcPr>
            <w:tcW w:w="645" w:type="pct"/>
            <w:tcBorders>
              <w:top w:val="nil"/>
              <w:left w:val="nil"/>
              <w:bottom w:val="single" w:color="auto" w:sz="4" w:space="0"/>
              <w:right w:val="single" w:color="auto" w:sz="4" w:space="0"/>
            </w:tcBorders>
            <w:noWrap w:val="0"/>
            <w:vAlign w:val="center"/>
          </w:tcPr>
          <w:p w14:paraId="6A7E62F8">
            <w:pPr>
              <w:widowControl/>
              <w:jc w:val="center"/>
              <w:rPr>
                <w:rFonts w:hint="eastAsia" w:ascii="仿宋" w:hAnsi="仿宋" w:eastAsia="仿宋" w:cs="仿宋"/>
              </w:rPr>
            </w:pPr>
            <w:r>
              <w:rPr>
                <w:rFonts w:hint="eastAsia" w:ascii="仿宋" w:hAnsi="仿宋" w:eastAsia="仿宋" w:cs="仿宋"/>
              </w:rPr>
              <w:t>V</w:t>
            </w:r>
          </w:p>
        </w:tc>
        <w:tc>
          <w:tcPr>
            <w:tcW w:w="1706" w:type="pct"/>
            <w:tcBorders>
              <w:top w:val="nil"/>
              <w:left w:val="nil"/>
              <w:bottom w:val="single" w:color="auto" w:sz="4" w:space="0"/>
              <w:right w:val="single" w:color="auto" w:sz="4" w:space="0"/>
            </w:tcBorders>
            <w:noWrap w:val="0"/>
            <w:vAlign w:val="center"/>
          </w:tcPr>
          <w:p w14:paraId="17F2219B">
            <w:pPr>
              <w:widowControl/>
              <w:jc w:val="center"/>
              <w:rPr>
                <w:rFonts w:hint="eastAsia" w:ascii="仿宋" w:hAnsi="仿宋" w:eastAsia="仿宋" w:cs="仿宋"/>
              </w:rPr>
            </w:pPr>
            <w:r>
              <w:rPr>
                <w:rFonts w:hint="eastAsia" w:ascii="仿宋" w:hAnsi="仿宋" w:eastAsia="仿宋" w:cs="仿宋"/>
              </w:rPr>
              <w:t>≤110%稳态输出电压</w:t>
            </w:r>
          </w:p>
        </w:tc>
      </w:tr>
      <w:tr w14:paraId="1FF9FE06">
        <w:tblPrEx>
          <w:tblCellMar>
            <w:top w:w="0" w:type="dxa"/>
            <w:left w:w="108" w:type="dxa"/>
            <w:bottom w:w="0" w:type="dxa"/>
            <w:right w:w="108" w:type="dxa"/>
          </w:tblCellMar>
        </w:tblPrEx>
        <w:trPr>
          <w:trHeight w:val="270" w:hRule="atLeast"/>
          <w:jc w:val="center"/>
        </w:trPr>
        <w:tc>
          <w:tcPr>
            <w:tcW w:w="476" w:type="pct"/>
            <w:tcBorders>
              <w:top w:val="nil"/>
              <w:left w:val="single" w:color="auto" w:sz="4" w:space="0"/>
              <w:bottom w:val="single" w:color="auto" w:sz="4" w:space="0"/>
              <w:right w:val="single" w:color="auto" w:sz="4" w:space="0"/>
            </w:tcBorders>
            <w:noWrap w:val="0"/>
            <w:vAlign w:val="center"/>
          </w:tcPr>
          <w:p w14:paraId="720A934F">
            <w:pPr>
              <w:widowControl/>
              <w:jc w:val="center"/>
              <w:rPr>
                <w:rFonts w:hint="eastAsia" w:ascii="仿宋" w:hAnsi="仿宋" w:eastAsia="仿宋" w:cs="仿宋"/>
              </w:rPr>
            </w:pPr>
            <w:r>
              <w:rPr>
                <w:rFonts w:hint="eastAsia" w:ascii="仿宋" w:hAnsi="仿宋" w:eastAsia="仿宋" w:cs="仿宋"/>
              </w:rPr>
              <w:t>15</w:t>
            </w:r>
          </w:p>
        </w:tc>
        <w:tc>
          <w:tcPr>
            <w:tcW w:w="556" w:type="pct"/>
            <w:vMerge w:val="continue"/>
            <w:tcBorders>
              <w:top w:val="nil"/>
              <w:left w:val="single" w:color="auto" w:sz="4" w:space="0"/>
              <w:bottom w:val="single" w:color="auto" w:sz="4" w:space="0"/>
              <w:right w:val="single" w:color="auto" w:sz="4" w:space="0"/>
            </w:tcBorders>
            <w:noWrap w:val="0"/>
            <w:vAlign w:val="center"/>
          </w:tcPr>
          <w:p w14:paraId="14D1D27B">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7917BEBE">
            <w:pPr>
              <w:widowControl/>
              <w:jc w:val="center"/>
              <w:rPr>
                <w:rFonts w:hint="eastAsia" w:ascii="仿宋" w:hAnsi="仿宋" w:eastAsia="仿宋" w:cs="仿宋"/>
              </w:rPr>
            </w:pPr>
            <w:r>
              <w:rPr>
                <w:rFonts w:hint="eastAsia" w:ascii="仿宋" w:hAnsi="仿宋" w:eastAsia="仿宋" w:cs="仿宋"/>
              </w:rPr>
              <w:t>峰值效率</w:t>
            </w:r>
          </w:p>
        </w:tc>
        <w:tc>
          <w:tcPr>
            <w:tcW w:w="645" w:type="pct"/>
            <w:tcBorders>
              <w:top w:val="nil"/>
              <w:left w:val="nil"/>
              <w:bottom w:val="single" w:color="auto" w:sz="4" w:space="0"/>
              <w:right w:val="single" w:color="auto" w:sz="4" w:space="0"/>
            </w:tcBorders>
            <w:noWrap w:val="0"/>
            <w:vAlign w:val="center"/>
          </w:tcPr>
          <w:p w14:paraId="7E290C84">
            <w:pPr>
              <w:widowControl/>
              <w:jc w:val="center"/>
              <w:rPr>
                <w:rFonts w:hint="eastAsia" w:ascii="仿宋" w:hAnsi="仿宋" w:eastAsia="仿宋" w:cs="仿宋"/>
              </w:rPr>
            </w:pPr>
            <w:r>
              <w:rPr>
                <w:rFonts w:hint="eastAsia" w:ascii="仿宋" w:hAnsi="仿宋" w:eastAsia="仿宋" w:cs="仿宋"/>
              </w:rPr>
              <w:t>%</w:t>
            </w:r>
          </w:p>
        </w:tc>
        <w:tc>
          <w:tcPr>
            <w:tcW w:w="1706" w:type="pct"/>
            <w:tcBorders>
              <w:top w:val="nil"/>
              <w:left w:val="nil"/>
              <w:bottom w:val="single" w:color="auto" w:sz="4" w:space="0"/>
              <w:right w:val="single" w:color="auto" w:sz="4" w:space="0"/>
            </w:tcBorders>
            <w:noWrap w:val="0"/>
            <w:vAlign w:val="center"/>
          </w:tcPr>
          <w:p w14:paraId="3E8BCC0B">
            <w:pPr>
              <w:widowControl/>
              <w:jc w:val="center"/>
              <w:rPr>
                <w:rFonts w:hint="eastAsia" w:ascii="仿宋" w:hAnsi="仿宋" w:eastAsia="仿宋" w:cs="仿宋"/>
              </w:rPr>
            </w:pPr>
            <w:r>
              <w:rPr>
                <w:rFonts w:hint="eastAsia" w:ascii="仿宋" w:hAnsi="仿宋" w:eastAsia="仿宋" w:cs="仿宋"/>
              </w:rPr>
              <w:t>≥96.5</w:t>
            </w:r>
          </w:p>
        </w:tc>
      </w:tr>
      <w:tr w14:paraId="5605134D">
        <w:tblPrEx>
          <w:tblCellMar>
            <w:top w:w="0" w:type="dxa"/>
            <w:left w:w="108" w:type="dxa"/>
            <w:bottom w:w="0" w:type="dxa"/>
            <w:right w:w="108" w:type="dxa"/>
          </w:tblCellMar>
        </w:tblPrEx>
        <w:trPr>
          <w:trHeight w:val="270" w:hRule="atLeast"/>
          <w:jc w:val="center"/>
        </w:trPr>
        <w:tc>
          <w:tcPr>
            <w:tcW w:w="476" w:type="pct"/>
            <w:tcBorders>
              <w:top w:val="nil"/>
              <w:left w:val="single" w:color="auto" w:sz="4" w:space="0"/>
              <w:bottom w:val="single" w:color="auto" w:sz="4" w:space="0"/>
              <w:right w:val="single" w:color="auto" w:sz="4" w:space="0"/>
            </w:tcBorders>
            <w:noWrap w:val="0"/>
            <w:vAlign w:val="center"/>
          </w:tcPr>
          <w:p w14:paraId="257D17B3">
            <w:pPr>
              <w:widowControl/>
              <w:jc w:val="center"/>
              <w:rPr>
                <w:rFonts w:hint="eastAsia" w:ascii="仿宋" w:hAnsi="仿宋" w:eastAsia="仿宋" w:cs="仿宋"/>
              </w:rPr>
            </w:pPr>
            <w:r>
              <w:rPr>
                <w:rFonts w:hint="eastAsia" w:ascii="仿宋" w:hAnsi="仿宋" w:eastAsia="仿宋" w:cs="仿宋"/>
              </w:rPr>
              <w:t>16</w:t>
            </w:r>
          </w:p>
        </w:tc>
        <w:tc>
          <w:tcPr>
            <w:tcW w:w="556" w:type="pct"/>
            <w:vMerge w:val="continue"/>
            <w:tcBorders>
              <w:top w:val="nil"/>
              <w:left w:val="single" w:color="auto" w:sz="4" w:space="0"/>
              <w:bottom w:val="single" w:color="auto" w:sz="4" w:space="0"/>
              <w:right w:val="single" w:color="auto" w:sz="4" w:space="0"/>
            </w:tcBorders>
            <w:noWrap w:val="0"/>
            <w:vAlign w:val="center"/>
          </w:tcPr>
          <w:p w14:paraId="09A4041C">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65D612FD">
            <w:pPr>
              <w:widowControl/>
              <w:jc w:val="center"/>
              <w:rPr>
                <w:rFonts w:hint="eastAsia" w:ascii="仿宋" w:hAnsi="仿宋" w:eastAsia="仿宋" w:cs="仿宋"/>
              </w:rPr>
            </w:pPr>
            <w:r>
              <w:rPr>
                <w:rFonts w:hint="eastAsia" w:ascii="仿宋" w:hAnsi="仿宋" w:eastAsia="仿宋" w:cs="仿宋"/>
              </w:rPr>
              <w:t>噪声</w:t>
            </w:r>
          </w:p>
        </w:tc>
        <w:tc>
          <w:tcPr>
            <w:tcW w:w="645" w:type="pct"/>
            <w:tcBorders>
              <w:top w:val="nil"/>
              <w:left w:val="nil"/>
              <w:bottom w:val="single" w:color="auto" w:sz="4" w:space="0"/>
              <w:right w:val="single" w:color="auto" w:sz="4" w:space="0"/>
            </w:tcBorders>
            <w:noWrap w:val="0"/>
            <w:vAlign w:val="center"/>
          </w:tcPr>
          <w:p w14:paraId="39857A81">
            <w:pPr>
              <w:widowControl/>
              <w:jc w:val="center"/>
              <w:rPr>
                <w:rFonts w:hint="eastAsia" w:ascii="仿宋" w:hAnsi="仿宋" w:eastAsia="仿宋" w:cs="仿宋"/>
              </w:rPr>
            </w:pPr>
          </w:p>
        </w:tc>
        <w:tc>
          <w:tcPr>
            <w:tcW w:w="1706" w:type="pct"/>
            <w:tcBorders>
              <w:top w:val="nil"/>
              <w:left w:val="nil"/>
              <w:bottom w:val="single" w:color="auto" w:sz="4" w:space="0"/>
              <w:right w:val="single" w:color="auto" w:sz="4" w:space="0"/>
            </w:tcBorders>
            <w:noWrap w:val="0"/>
            <w:vAlign w:val="center"/>
          </w:tcPr>
          <w:p w14:paraId="0BA473AD">
            <w:pPr>
              <w:widowControl/>
              <w:jc w:val="center"/>
              <w:rPr>
                <w:rFonts w:hint="eastAsia" w:ascii="仿宋" w:hAnsi="仿宋" w:eastAsia="仿宋" w:cs="仿宋"/>
              </w:rPr>
            </w:pPr>
            <w:r>
              <w:rPr>
                <w:rFonts w:hint="eastAsia" w:ascii="仿宋" w:hAnsi="仿宋" w:eastAsia="仿宋" w:cs="仿宋"/>
              </w:rPr>
              <w:t>＜65dB</w:t>
            </w:r>
          </w:p>
        </w:tc>
      </w:tr>
      <w:tr w14:paraId="11D924BD">
        <w:tblPrEx>
          <w:tblCellMar>
            <w:top w:w="0" w:type="dxa"/>
            <w:left w:w="108" w:type="dxa"/>
            <w:bottom w:w="0" w:type="dxa"/>
            <w:right w:w="108" w:type="dxa"/>
          </w:tblCellMar>
        </w:tblPrEx>
        <w:trPr>
          <w:trHeight w:val="450" w:hRule="atLeast"/>
          <w:jc w:val="center"/>
        </w:trPr>
        <w:tc>
          <w:tcPr>
            <w:tcW w:w="476" w:type="pct"/>
            <w:tcBorders>
              <w:top w:val="nil"/>
              <w:left w:val="single" w:color="auto" w:sz="4" w:space="0"/>
              <w:bottom w:val="single" w:color="auto" w:sz="4" w:space="0"/>
              <w:right w:val="single" w:color="auto" w:sz="4" w:space="0"/>
            </w:tcBorders>
            <w:noWrap w:val="0"/>
            <w:vAlign w:val="center"/>
          </w:tcPr>
          <w:p w14:paraId="70B78C95">
            <w:pPr>
              <w:widowControl/>
              <w:jc w:val="center"/>
              <w:rPr>
                <w:rFonts w:hint="eastAsia" w:ascii="仿宋" w:hAnsi="仿宋" w:eastAsia="仿宋" w:cs="仿宋"/>
              </w:rPr>
            </w:pPr>
            <w:r>
              <w:rPr>
                <w:rFonts w:hint="eastAsia" w:ascii="仿宋" w:hAnsi="仿宋" w:eastAsia="仿宋" w:cs="仿宋"/>
              </w:rPr>
              <w:t>17</w:t>
            </w:r>
          </w:p>
        </w:tc>
        <w:tc>
          <w:tcPr>
            <w:tcW w:w="556" w:type="pct"/>
            <w:vMerge w:val="continue"/>
            <w:tcBorders>
              <w:top w:val="nil"/>
              <w:left w:val="single" w:color="auto" w:sz="4" w:space="0"/>
              <w:bottom w:val="single" w:color="auto" w:sz="4" w:space="0"/>
              <w:right w:val="single" w:color="auto" w:sz="4" w:space="0"/>
            </w:tcBorders>
            <w:noWrap w:val="0"/>
            <w:vAlign w:val="center"/>
          </w:tcPr>
          <w:p w14:paraId="08A5470D">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166BD606">
            <w:pPr>
              <w:widowControl/>
              <w:jc w:val="center"/>
              <w:rPr>
                <w:rFonts w:hint="eastAsia" w:ascii="仿宋" w:hAnsi="仿宋" w:eastAsia="仿宋" w:cs="仿宋"/>
              </w:rPr>
            </w:pPr>
            <w:r>
              <w:rPr>
                <w:rFonts w:hint="eastAsia" w:ascii="仿宋" w:hAnsi="仿宋" w:eastAsia="仿宋" w:cs="仿宋"/>
              </w:rPr>
              <w:t>谐波电流限值要求（THD）</w:t>
            </w:r>
          </w:p>
        </w:tc>
        <w:tc>
          <w:tcPr>
            <w:tcW w:w="645" w:type="pct"/>
            <w:tcBorders>
              <w:top w:val="nil"/>
              <w:left w:val="nil"/>
              <w:bottom w:val="single" w:color="auto" w:sz="4" w:space="0"/>
              <w:right w:val="single" w:color="auto" w:sz="4" w:space="0"/>
            </w:tcBorders>
            <w:noWrap w:val="0"/>
            <w:vAlign w:val="center"/>
          </w:tcPr>
          <w:p w14:paraId="02063AE6">
            <w:pPr>
              <w:widowControl/>
              <w:jc w:val="center"/>
              <w:rPr>
                <w:rFonts w:hint="eastAsia" w:ascii="仿宋" w:hAnsi="仿宋" w:eastAsia="仿宋" w:cs="仿宋"/>
              </w:rPr>
            </w:pPr>
            <w:r>
              <w:rPr>
                <w:rFonts w:hint="eastAsia" w:ascii="仿宋" w:hAnsi="仿宋" w:eastAsia="仿宋" w:cs="仿宋"/>
              </w:rPr>
              <w:t>%</w:t>
            </w:r>
          </w:p>
        </w:tc>
        <w:tc>
          <w:tcPr>
            <w:tcW w:w="1706" w:type="pct"/>
            <w:tcBorders>
              <w:top w:val="nil"/>
              <w:left w:val="nil"/>
              <w:bottom w:val="single" w:color="auto" w:sz="4" w:space="0"/>
              <w:right w:val="single" w:color="auto" w:sz="4" w:space="0"/>
            </w:tcBorders>
            <w:noWrap w:val="0"/>
            <w:vAlign w:val="center"/>
          </w:tcPr>
          <w:p w14:paraId="6EC3A379">
            <w:pPr>
              <w:widowControl/>
              <w:jc w:val="center"/>
              <w:rPr>
                <w:rFonts w:hint="eastAsia" w:ascii="仿宋" w:hAnsi="仿宋" w:eastAsia="仿宋" w:cs="仿宋"/>
              </w:rPr>
            </w:pPr>
            <w:r>
              <w:rPr>
                <w:rFonts w:hint="eastAsia" w:ascii="仿宋" w:hAnsi="仿宋" w:eastAsia="仿宋" w:cs="仿宋"/>
              </w:rPr>
              <w:t>≤5</w:t>
            </w:r>
          </w:p>
        </w:tc>
      </w:tr>
      <w:tr w14:paraId="4B3F7524">
        <w:tblPrEx>
          <w:tblCellMar>
            <w:top w:w="0" w:type="dxa"/>
            <w:left w:w="108" w:type="dxa"/>
            <w:bottom w:w="0" w:type="dxa"/>
            <w:right w:w="108" w:type="dxa"/>
          </w:tblCellMar>
        </w:tblPrEx>
        <w:trPr>
          <w:trHeight w:val="270" w:hRule="atLeast"/>
          <w:jc w:val="center"/>
        </w:trPr>
        <w:tc>
          <w:tcPr>
            <w:tcW w:w="476" w:type="pct"/>
            <w:tcBorders>
              <w:top w:val="nil"/>
              <w:left w:val="single" w:color="auto" w:sz="4" w:space="0"/>
              <w:bottom w:val="single" w:color="auto" w:sz="4" w:space="0"/>
              <w:right w:val="single" w:color="auto" w:sz="4" w:space="0"/>
            </w:tcBorders>
            <w:noWrap w:val="0"/>
            <w:vAlign w:val="center"/>
          </w:tcPr>
          <w:p w14:paraId="3D3754C0">
            <w:pPr>
              <w:widowControl/>
              <w:jc w:val="center"/>
              <w:rPr>
                <w:rFonts w:hint="eastAsia" w:ascii="仿宋" w:hAnsi="仿宋" w:eastAsia="仿宋" w:cs="仿宋"/>
              </w:rPr>
            </w:pPr>
            <w:r>
              <w:rPr>
                <w:rFonts w:hint="eastAsia" w:ascii="仿宋" w:hAnsi="仿宋" w:eastAsia="仿宋" w:cs="仿宋"/>
              </w:rPr>
              <w:t>18</w:t>
            </w:r>
          </w:p>
        </w:tc>
        <w:tc>
          <w:tcPr>
            <w:tcW w:w="556" w:type="pct"/>
            <w:vMerge w:val="continue"/>
            <w:tcBorders>
              <w:top w:val="nil"/>
              <w:left w:val="single" w:color="auto" w:sz="4" w:space="0"/>
              <w:bottom w:val="single" w:color="auto" w:sz="4" w:space="0"/>
              <w:right w:val="single" w:color="auto" w:sz="4" w:space="0"/>
            </w:tcBorders>
            <w:noWrap w:val="0"/>
            <w:vAlign w:val="center"/>
          </w:tcPr>
          <w:p w14:paraId="0631F03D">
            <w:pPr>
              <w:widowControl/>
              <w:jc w:val="left"/>
              <w:rPr>
                <w:rFonts w:hint="eastAsia" w:ascii="仿宋" w:hAnsi="仿宋" w:eastAsia="仿宋" w:cs="仿宋"/>
              </w:rPr>
            </w:pPr>
          </w:p>
        </w:tc>
        <w:tc>
          <w:tcPr>
            <w:tcW w:w="1617" w:type="pct"/>
            <w:tcBorders>
              <w:top w:val="nil"/>
              <w:left w:val="nil"/>
              <w:bottom w:val="single" w:color="auto" w:sz="4" w:space="0"/>
              <w:right w:val="single" w:color="auto" w:sz="4" w:space="0"/>
            </w:tcBorders>
            <w:noWrap w:val="0"/>
            <w:vAlign w:val="center"/>
          </w:tcPr>
          <w:p w14:paraId="0E79ECB5">
            <w:pPr>
              <w:widowControl/>
              <w:jc w:val="center"/>
              <w:rPr>
                <w:rFonts w:hint="eastAsia" w:ascii="仿宋" w:hAnsi="仿宋" w:eastAsia="仿宋" w:cs="仿宋"/>
              </w:rPr>
            </w:pPr>
            <w:r>
              <w:rPr>
                <w:rFonts w:hint="eastAsia" w:ascii="仿宋" w:hAnsi="仿宋" w:eastAsia="仿宋" w:cs="仿宋"/>
              </w:rPr>
              <w:t>充电机结构形式</w:t>
            </w:r>
          </w:p>
        </w:tc>
        <w:tc>
          <w:tcPr>
            <w:tcW w:w="645" w:type="pct"/>
            <w:tcBorders>
              <w:top w:val="nil"/>
              <w:left w:val="nil"/>
              <w:bottom w:val="single" w:color="auto" w:sz="4" w:space="0"/>
              <w:right w:val="single" w:color="auto" w:sz="4" w:space="0"/>
            </w:tcBorders>
            <w:noWrap w:val="0"/>
            <w:vAlign w:val="center"/>
          </w:tcPr>
          <w:p w14:paraId="4711CB9B">
            <w:pPr>
              <w:widowControl/>
              <w:jc w:val="center"/>
              <w:rPr>
                <w:rFonts w:hint="eastAsia" w:ascii="仿宋" w:hAnsi="仿宋" w:eastAsia="仿宋" w:cs="仿宋"/>
              </w:rPr>
            </w:pPr>
          </w:p>
        </w:tc>
        <w:tc>
          <w:tcPr>
            <w:tcW w:w="1706" w:type="pct"/>
            <w:tcBorders>
              <w:top w:val="nil"/>
              <w:left w:val="nil"/>
              <w:bottom w:val="single" w:color="auto" w:sz="4" w:space="0"/>
              <w:right w:val="single" w:color="auto" w:sz="4" w:space="0"/>
            </w:tcBorders>
            <w:noWrap w:val="0"/>
            <w:vAlign w:val="center"/>
          </w:tcPr>
          <w:p w14:paraId="4A97A936">
            <w:pPr>
              <w:widowControl/>
              <w:jc w:val="center"/>
              <w:rPr>
                <w:rFonts w:hint="eastAsia" w:ascii="仿宋" w:hAnsi="仿宋" w:eastAsia="仿宋" w:cs="仿宋"/>
              </w:rPr>
            </w:pPr>
            <w:r>
              <w:rPr>
                <w:rFonts w:hint="eastAsia" w:ascii="仿宋" w:hAnsi="仿宋" w:eastAsia="仿宋" w:cs="仿宋"/>
              </w:rPr>
              <w:t>分体式</w:t>
            </w:r>
          </w:p>
        </w:tc>
      </w:tr>
    </w:tbl>
    <w:p w14:paraId="7969B74F">
      <w:pPr>
        <w:bidi w:val="0"/>
        <w:rPr>
          <w:rFonts w:hint="eastAsia" w:ascii="仿宋" w:hAnsi="仿宋" w:eastAsia="仿宋" w:cs="仿宋"/>
          <w:sz w:val="30"/>
          <w:szCs w:val="30"/>
        </w:rPr>
      </w:pPr>
    </w:p>
    <w:p w14:paraId="6E55D2FF">
      <w:pPr>
        <w:bidi w:val="0"/>
        <w:rPr>
          <w:rFonts w:hint="eastAsia" w:ascii="仿宋" w:hAnsi="仿宋" w:eastAsia="仿宋" w:cs="仿宋"/>
          <w:sz w:val="30"/>
          <w:szCs w:val="30"/>
        </w:rPr>
      </w:pPr>
      <w:r>
        <w:rPr>
          <w:rFonts w:hint="eastAsia" w:ascii="仿宋" w:hAnsi="仿宋" w:eastAsia="仿宋" w:cs="仿宋"/>
          <w:sz w:val="30"/>
          <w:szCs w:val="30"/>
          <w:lang w:val="en-US" w:eastAsia="zh-CN"/>
        </w:rPr>
        <w:t>4.3.4</w:t>
      </w:r>
      <w:r>
        <w:rPr>
          <w:rFonts w:hint="eastAsia" w:ascii="仿宋" w:hAnsi="仿宋" w:eastAsia="仿宋" w:cs="仿宋"/>
          <w:sz w:val="30"/>
          <w:szCs w:val="30"/>
        </w:rPr>
        <w:t>最大输出电流 1600A（单枪 250A/600A）。</w:t>
      </w:r>
    </w:p>
    <w:p w14:paraId="7327627A">
      <w:pPr>
        <w:bidi w:val="0"/>
        <w:rPr>
          <w:rFonts w:hint="eastAsia" w:ascii="仿宋" w:hAnsi="仿宋" w:eastAsia="仿宋" w:cs="仿宋"/>
          <w:sz w:val="30"/>
          <w:szCs w:val="30"/>
        </w:rPr>
      </w:pPr>
      <w:r>
        <w:rPr>
          <w:rFonts w:hint="eastAsia" w:ascii="仿宋" w:hAnsi="仿宋" w:eastAsia="仿宋" w:cs="仿宋"/>
          <w:sz w:val="30"/>
          <w:szCs w:val="30"/>
          <w:lang w:val="en-US" w:eastAsia="zh-CN"/>
        </w:rPr>
        <w:t>4.3.5</w:t>
      </w:r>
      <w:r>
        <w:rPr>
          <w:rFonts w:hint="eastAsia" w:ascii="仿宋" w:hAnsi="仿宋" w:eastAsia="仿宋" w:cs="仿宋"/>
          <w:sz w:val="30"/>
          <w:szCs w:val="30"/>
        </w:rPr>
        <w:t>通讯与防护：以太网</w:t>
      </w:r>
      <w:r>
        <w:rPr>
          <w:rFonts w:hint="eastAsia" w:ascii="仿宋" w:hAnsi="仿宋" w:eastAsia="仿宋" w:cs="仿宋"/>
          <w:sz w:val="30"/>
          <w:szCs w:val="30"/>
          <w:lang w:val="en-US" w:eastAsia="zh-CN"/>
        </w:rPr>
        <w:t>/4G</w:t>
      </w:r>
      <w:r>
        <w:rPr>
          <w:rFonts w:hint="eastAsia" w:ascii="仿宋" w:hAnsi="仿宋" w:eastAsia="仿宋" w:cs="仿宋"/>
          <w:sz w:val="30"/>
          <w:szCs w:val="30"/>
        </w:rPr>
        <w:t>通讯，防护等级 IP</w:t>
      </w:r>
      <w:r>
        <w:rPr>
          <w:rFonts w:hint="eastAsia" w:ascii="仿宋" w:hAnsi="仿宋" w:eastAsia="仿宋" w:cs="仿宋"/>
          <w:sz w:val="30"/>
          <w:szCs w:val="30"/>
          <w:lang w:val="en-US" w:eastAsia="zh-CN"/>
        </w:rPr>
        <w:t>55</w:t>
      </w:r>
      <w:r>
        <w:rPr>
          <w:rFonts w:hint="eastAsia" w:ascii="仿宋" w:hAnsi="仿宋" w:eastAsia="仿宋" w:cs="仿宋"/>
          <w:sz w:val="30"/>
          <w:szCs w:val="30"/>
        </w:rPr>
        <w:t>，工作温度 - 20-65℃（50℃以上降额输出）</w:t>
      </w:r>
      <w:r>
        <w:rPr>
          <w:rFonts w:hint="eastAsia" w:ascii="仿宋" w:hAnsi="仿宋" w:eastAsia="仿宋" w:cs="仿宋"/>
          <w:sz w:val="30"/>
          <w:szCs w:val="30"/>
          <w:lang w:eastAsia="zh-CN"/>
        </w:rPr>
        <w:t>，</w:t>
      </w:r>
      <w:r>
        <w:rPr>
          <w:rFonts w:hint="eastAsia" w:ascii="仿宋" w:hAnsi="仿宋" w:eastAsia="仿宋" w:cs="仿宋"/>
          <w:sz w:val="30"/>
          <w:szCs w:val="30"/>
        </w:rPr>
        <w:t>噪音＜65dB。。</w:t>
      </w:r>
    </w:p>
    <w:p w14:paraId="7110DCC8">
      <w:pPr>
        <w:bidi w:val="0"/>
        <w:rPr>
          <w:rFonts w:hint="eastAsia" w:ascii="仿宋" w:hAnsi="仿宋" w:eastAsia="仿宋" w:cs="仿宋"/>
          <w:sz w:val="30"/>
          <w:szCs w:val="30"/>
        </w:rPr>
      </w:pPr>
      <w:r>
        <w:rPr>
          <w:rFonts w:hint="eastAsia" w:ascii="仿宋" w:hAnsi="仿宋" w:eastAsia="仿宋" w:cs="仿宋"/>
          <w:sz w:val="30"/>
          <w:szCs w:val="30"/>
          <w:lang w:val="en-US" w:eastAsia="zh-CN"/>
        </w:rPr>
        <w:t>4.3.6安装方式：</w:t>
      </w:r>
      <w:r>
        <w:rPr>
          <w:rFonts w:hint="eastAsia" w:ascii="仿宋" w:hAnsi="仿宋" w:eastAsia="仿宋" w:cs="仿宋"/>
          <w:sz w:val="28"/>
          <w:szCs w:val="28"/>
          <w:highlight w:val="none"/>
          <w:lang w:val="en-US" w:eastAsia="zh-CN"/>
        </w:rPr>
        <w:t>基础安装</w:t>
      </w:r>
    </w:p>
    <w:p w14:paraId="0BCC1681">
      <w:pPr>
        <w:numPr>
          <w:ilvl w:val="0"/>
          <w:numId w:val="0"/>
        </w:numPr>
        <w:bidi w:val="0"/>
        <w:rPr>
          <w:rFonts w:hint="eastAsia" w:ascii="仿宋" w:hAnsi="仿宋" w:eastAsia="仿宋" w:cs="仿宋"/>
          <w:sz w:val="30"/>
          <w:szCs w:val="30"/>
        </w:rPr>
      </w:pPr>
      <w:r>
        <w:rPr>
          <w:rFonts w:hint="eastAsia" w:ascii="仿宋" w:hAnsi="仿宋" w:eastAsia="仿宋" w:cs="仿宋"/>
          <w:sz w:val="30"/>
          <w:szCs w:val="30"/>
          <w:lang w:val="en-US" w:eastAsia="zh-CN"/>
        </w:rPr>
        <w:t>4.4</w:t>
      </w:r>
      <w:r>
        <w:rPr>
          <w:rFonts w:hint="eastAsia" w:ascii="仿宋" w:hAnsi="仿宋" w:eastAsia="仿宋" w:cs="仿宋"/>
          <w:sz w:val="30"/>
          <w:szCs w:val="30"/>
        </w:rPr>
        <w:t>交流充电桩（7kW）</w:t>
      </w:r>
    </w:p>
    <w:p w14:paraId="4D59DD0E">
      <w:pPr>
        <w:numPr>
          <w:ilvl w:val="0"/>
          <w:numId w:val="0"/>
        </w:numPr>
        <w:bidi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4.4.1应采用双枪设计,选用安科瑞、科华等国内外知名品牌产品。</w:t>
      </w:r>
    </w:p>
    <w:p w14:paraId="745B1C5A">
      <w:pPr>
        <w:spacing w:line="360" w:lineRule="auto"/>
        <w:rPr>
          <w:rFonts w:hint="eastAsia" w:ascii="仿宋" w:hAnsi="仿宋" w:eastAsia="仿宋" w:cs="仿宋"/>
          <w:b/>
          <w:bCs/>
          <w:sz w:val="24"/>
        </w:rPr>
      </w:pPr>
      <w:r>
        <w:rPr>
          <w:rFonts w:hint="eastAsia" w:ascii="仿宋" w:hAnsi="仿宋" w:eastAsia="仿宋" w:cs="仿宋"/>
          <w:b/>
          <w:bCs/>
          <w:sz w:val="24"/>
          <w:lang w:val="en-US" w:eastAsia="zh-CN"/>
        </w:rPr>
        <w:t>4.4.2</w:t>
      </w:r>
      <w:r>
        <w:rPr>
          <w:rFonts w:hint="eastAsia" w:ascii="仿宋" w:hAnsi="仿宋" w:eastAsia="仿宋" w:cs="仿宋"/>
          <w:b/>
          <w:bCs/>
          <w:sz w:val="24"/>
        </w:rPr>
        <w:t>环境条件</w:t>
      </w:r>
    </w:p>
    <w:p w14:paraId="6FB92928">
      <w:pPr>
        <w:numPr>
          <w:ilvl w:val="0"/>
          <w:numId w:val="0"/>
        </w:numPr>
        <w:tabs>
          <w:tab w:val="left" w:pos="1134"/>
        </w:tabs>
        <w:spacing w:line="360" w:lineRule="auto"/>
        <w:ind w:left="735" w:leftChars="0"/>
        <w:rPr>
          <w:rFonts w:hint="eastAsia" w:ascii="仿宋" w:hAnsi="仿宋" w:eastAsia="仿宋" w:cs="仿宋"/>
          <w:sz w:val="24"/>
        </w:rPr>
      </w:pPr>
      <w:r>
        <w:rPr>
          <w:rFonts w:hint="eastAsia" w:ascii="仿宋" w:hAnsi="仿宋" w:eastAsia="仿宋" w:cs="仿宋"/>
          <w:sz w:val="24"/>
          <w:lang w:val="en-US" w:eastAsia="zh-CN"/>
        </w:rPr>
        <w:t>a）</w:t>
      </w:r>
      <w:r>
        <w:rPr>
          <w:rFonts w:hint="eastAsia" w:ascii="仿宋" w:hAnsi="仿宋" w:eastAsia="仿宋" w:cs="仿宋"/>
          <w:sz w:val="24"/>
        </w:rPr>
        <w:t>环境温度：-30℃～55℃；</w:t>
      </w:r>
    </w:p>
    <w:p w14:paraId="00A0A085">
      <w:pPr>
        <w:numPr>
          <w:ilvl w:val="0"/>
          <w:numId w:val="0"/>
        </w:numPr>
        <w:tabs>
          <w:tab w:val="left" w:pos="1134"/>
        </w:tabs>
        <w:spacing w:line="360" w:lineRule="auto"/>
        <w:ind w:left="735" w:leftChars="0"/>
        <w:rPr>
          <w:rFonts w:hint="eastAsia" w:ascii="仿宋" w:hAnsi="仿宋" w:eastAsia="仿宋" w:cs="仿宋"/>
          <w:sz w:val="24"/>
        </w:rPr>
      </w:pPr>
      <w:r>
        <w:rPr>
          <w:rFonts w:hint="eastAsia" w:ascii="仿宋" w:hAnsi="仿宋" w:eastAsia="仿宋" w:cs="仿宋"/>
          <w:sz w:val="24"/>
          <w:lang w:val="en-US" w:eastAsia="zh-CN"/>
        </w:rPr>
        <w:t>b）</w:t>
      </w:r>
      <w:r>
        <w:rPr>
          <w:rFonts w:hint="eastAsia" w:ascii="仿宋" w:hAnsi="仿宋" w:eastAsia="仿宋" w:cs="仿宋"/>
          <w:sz w:val="24"/>
        </w:rPr>
        <w:t>相对湿度：5％～95％；</w:t>
      </w:r>
    </w:p>
    <w:p w14:paraId="1A9A556F">
      <w:pPr>
        <w:numPr>
          <w:ilvl w:val="0"/>
          <w:numId w:val="0"/>
        </w:numPr>
        <w:tabs>
          <w:tab w:val="left" w:pos="1134"/>
        </w:tabs>
        <w:spacing w:line="360" w:lineRule="auto"/>
        <w:ind w:left="735" w:leftChars="0"/>
        <w:rPr>
          <w:rFonts w:hint="eastAsia" w:ascii="仿宋" w:hAnsi="仿宋" w:eastAsia="仿宋" w:cs="仿宋"/>
          <w:sz w:val="24"/>
        </w:rPr>
      </w:pPr>
      <w:r>
        <w:rPr>
          <w:rFonts w:hint="eastAsia" w:ascii="仿宋" w:hAnsi="仿宋" w:eastAsia="仿宋" w:cs="仿宋"/>
          <w:sz w:val="24"/>
          <w:lang w:val="en-US" w:eastAsia="zh-CN"/>
        </w:rPr>
        <w:t>C）</w:t>
      </w:r>
      <w:r>
        <w:rPr>
          <w:rFonts w:hint="eastAsia" w:ascii="仿宋" w:hAnsi="仿宋" w:eastAsia="仿宋" w:cs="仿宋"/>
          <w:sz w:val="24"/>
        </w:rPr>
        <w:t>海拔高度：≤2000m；</w:t>
      </w:r>
    </w:p>
    <w:p w14:paraId="7D19974C">
      <w:pPr>
        <w:numPr>
          <w:ilvl w:val="0"/>
          <w:numId w:val="0"/>
        </w:numPr>
        <w:bidi w:val="0"/>
        <w:ind w:firstLine="720" w:firstLineChars="300"/>
        <w:rPr>
          <w:rFonts w:hint="eastAsia" w:ascii="仿宋" w:hAnsi="仿宋" w:eastAsia="仿宋" w:cs="仿宋"/>
          <w:sz w:val="24"/>
        </w:rPr>
      </w:pPr>
      <w:r>
        <w:rPr>
          <w:rFonts w:hint="eastAsia" w:ascii="仿宋" w:hAnsi="仿宋" w:eastAsia="仿宋" w:cs="仿宋"/>
          <w:sz w:val="24"/>
          <w:lang w:val="en-US" w:eastAsia="zh-CN"/>
        </w:rPr>
        <w:t>D）</w:t>
      </w:r>
      <w:r>
        <w:rPr>
          <w:rFonts w:hint="eastAsia" w:ascii="仿宋" w:hAnsi="仿宋" w:eastAsia="仿宋" w:cs="仿宋"/>
          <w:sz w:val="24"/>
        </w:rPr>
        <w:t>大气压强：80kPa～110kPa；</w:t>
      </w:r>
    </w:p>
    <w:p w14:paraId="45FC01CF">
      <w:pPr>
        <w:spacing w:line="360" w:lineRule="auto"/>
        <w:rPr>
          <w:rFonts w:hint="eastAsia" w:ascii="仿宋" w:hAnsi="仿宋" w:eastAsia="仿宋" w:cs="仿宋"/>
          <w:b/>
          <w:bCs/>
          <w:sz w:val="24"/>
          <w:lang w:val="en-US" w:eastAsia="zh-CN"/>
        </w:rPr>
      </w:pPr>
      <w:r>
        <w:rPr>
          <w:rFonts w:hint="eastAsia" w:ascii="仿宋" w:hAnsi="仿宋" w:eastAsia="仿宋" w:cs="仿宋"/>
          <w:b/>
          <w:bCs/>
          <w:sz w:val="24"/>
          <w:lang w:val="en-US" w:eastAsia="zh-CN"/>
        </w:rPr>
        <w:t>4.4.3技术参数表：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7"/>
        <w:gridCol w:w="747"/>
        <w:gridCol w:w="2925"/>
        <w:gridCol w:w="748"/>
        <w:gridCol w:w="3253"/>
      </w:tblGrid>
      <w:tr w14:paraId="697F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43" w:type="pct"/>
            <w:noWrap w:val="0"/>
            <w:vAlign w:val="center"/>
          </w:tcPr>
          <w:p w14:paraId="4E24F89C">
            <w:pPr>
              <w:pStyle w:val="13"/>
              <w:adjustRightInd w:val="0"/>
              <w:snapToGrid w:val="0"/>
              <w:spacing w:before="0" w:after="0"/>
              <w:ind w:firstLine="422"/>
              <w:jc w:val="center"/>
              <w:rPr>
                <w:rFonts w:hint="eastAsia" w:ascii="仿宋" w:hAnsi="仿宋" w:eastAsia="仿宋" w:cs="仿宋"/>
                <w:b/>
                <w:sz w:val="21"/>
                <w:szCs w:val="21"/>
              </w:rPr>
            </w:pPr>
            <w:r>
              <w:rPr>
                <w:rFonts w:hint="eastAsia" w:ascii="仿宋" w:hAnsi="仿宋" w:eastAsia="仿宋" w:cs="仿宋"/>
                <w:b/>
                <w:sz w:val="21"/>
                <w:szCs w:val="21"/>
              </w:rPr>
              <w:t>序号</w:t>
            </w:r>
          </w:p>
        </w:tc>
        <w:tc>
          <w:tcPr>
            <w:tcW w:w="443" w:type="pct"/>
            <w:noWrap w:val="0"/>
            <w:vAlign w:val="center"/>
          </w:tcPr>
          <w:p w14:paraId="32D33FD6">
            <w:pPr>
              <w:pStyle w:val="13"/>
              <w:adjustRightInd w:val="0"/>
              <w:snapToGrid w:val="0"/>
              <w:spacing w:before="0" w:after="0"/>
              <w:ind w:firstLine="422"/>
              <w:jc w:val="center"/>
              <w:rPr>
                <w:rFonts w:hint="eastAsia" w:ascii="仿宋" w:hAnsi="仿宋" w:eastAsia="仿宋" w:cs="仿宋"/>
                <w:b/>
                <w:sz w:val="21"/>
                <w:szCs w:val="21"/>
              </w:rPr>
            </w:pPr>
            <w:r>
              <w:rPr>
                <w:rFonts w:hint="eastAsia" w:ascii="仿宋" w:hAnsi="仿宋" w:eastAsia="仿宋" w:cs="仿宋"/>
                <w:b/>
                <w:sz w:val="21"/>
                <w:szCs w:val="21"/>
              </w:rPr>
              <w:t>名称</w:t>
            </w:r>
          </w:p>
        </w:tc>
        <w:tc>
          <w:tcPr>
            <w:tcW w:w="1737" w:type="pct"/>
            <w:noWrap w:val="0"/>
            <w:tcMar>
              <w:left w:w="57" w:type="dxa"/>
              <w:right w:w="57" w:type="dxa"/>
            </w:tcMar>
            <w:vAlign w:val="center"/>
          </w:tcPr>
          <w:p w14:paraId="5C56B898">
            <w:pPr>
              <w:pStyle w:val="13"/>
              <w:adjustRightInd w:val="0"/>
              <w:snapToGrid w:val="0"/>
              <w:spacing w:before="0" w:after="0"/>
              <w:ind w:firstLine="422"/>
              <w:jc w:val="center"/>
              <w:rPr>
                <w:rFonts w:hint="eastAsia" w:ascii="仿宋" w:hAnsi="仿宋" w:eastAsia="仿宋" w:cs="仿宋"/>
                <w:b/>
                <w:sz w:val="21"/>
                <w:szCs w:val="21"/>
              </w:rPr>
            </w:pPr>
            <w:r>
              <w:rPr>
                <w:rFonts w:hint="eastAsia" w:ascii="仿宋" w:hAnsi="仿宋" w:eastAsia="仿宋" w:cs="仿宋"/>
                <w:b/>
                <w:sz w:val="21"/>
                <w:szCs w:val="21"/>
              </w:rPr>
              <w:t>项      目</w:t>
            </w:r>
          </w:p>
        </w:tc>
        <w:tc>
          <w:tcPr>
            <w:tcW w:w="443" w:type="pct"/>
            <w:noWrap w:val="0"/>
            <w:tcMar>
              <w:left w:w="57" w:type="dxa"/>
              <w:right w:w="57" w:type="dxa"/>
            </w:tcMar>
            <w:vAlign w:val="center"/>
          </w:tcPr>
          <w:p w14:paraId="6046391E">
            <w:pPr>
              <w:pStyle w:val="13"/>
              <w:adjustRightInd w:val="0"/>
              <w:snapToGrid w:val="0"/>
              <w:spacing w:before="0" w:after="0"/>
              <w:ind w:firstLine="422"/>
              <w:jc w:val="center"/>
              <w:rPr>
                <w:rFonts w:hint="eastAsia" w:ascii="仿宋" w:hAnsi="仿宋" w:eastAsia="仿宋" w:cs="仿宋"/>
                <w:b/>
                <w:sz w:val="21"/>
                <w:szCs w:val="21"/>
              </w:rPr>
            </w:pPr>
            <w:r>
              <w:rPr>
                <w:rFonts w:hint="eastAsia" w:ascii="仿宋" w:hAnsi="仿宋" w:eastAsia="仿宋" w:cs="仿宋"/>
                <w:b/>
                <w:sz w:val="21"/>
                <w:szCs w:val="21"/>
              </w:rPr>
              <w:t>单位</w:t>
            </w:r>
          </w:p>
        </w:tc>
        <w:tc>
          <w:tcPr>
            <w:tcW w:w="1931" w:type="pct"/>
            <w:noWrap w:val="0"/>
            <w:tcMar>
              <w:left w:w="57" w:type="dxa"/>
              <w:right w:w="57" w:type="dxa"/>
            </w:tcMar>
            <w:vAlign w:val="center"/>
          </w:tcPr>
          <w:p w14:paraId="481AAF77">
            <w:pPr>
              <w:pStyle w:val="13"/>
              <w:adjustRightInd w:val="0"/>
              <w:snapToGrid w:val="0"/>
              <w:spacing w:before="0" w:after="0"/>
              <w:ind w:firstLine="422"/>
              <w:jc w:val="center"/>
              <w:rPr>
                <w:rFonts w:hint="eastAsia" w:ascii="仿宋" w:hAnsi="仿宋" w:eastAsia="仿宋" w:cs="仿宋"/>
                <w:sz w:val="21"/>
                <w:szCs w:val="21"/>
              </w:rPr>
            </w:pPr>
            <w:r>
              <w:rPr>
                <w:rFonts w:hint="eastAsia" w:ascii="仿宋" w:hAnsi="仿宋" w:eastAsia="仿宋" w:cs="仿宋"/>
                <w:b/>
                <w:sz w:val="21"/>
                <w:szCs w:val="21"/>
              </w:rPr>
              <w:t>标准参数值</w:t>
            </w:r>
          </w:p>
        </w:tc>
      </w:tr>
      <w:tr w14:paraId="6801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3A0A2557">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1</w:t>
            </w:r>
          </w:p>
        </w:tc>
        <w:tc>
          <w:tcPr>
            <w:tcW w:w="443" w:type="pct"/>
            <w:vMerge w:val="restart"/>
            <w:noWrap w:val="0"/>
            <w:tcMar>
              <w:left w:w="57" w:type="dxa"/>
              <w:right w:w="57" w:type="dxa"/>
            </w:tcMar>
            <w:vAlign w:val="center"/>
          </w:tcPr>
          <w:p w14:paraId="12C09C85">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交流充电桩</w:t>
            </w:r>
          </w:p>
        </w:tc>
        <w:tc>
          <w:tcPr>
            <w:tcW w:w="1737" w:type="pct"/>
            <w:noWrap w:val="0"/>
            <w:tcMar>
              <w:left w:w="57" w:type="dxa"/>
              <w:right w:w="57" w:type="dxa"/>
            </w:tcMar>
            <w:vAlign w:val="center"/>
          </w:tcPr>
          <w:p w14:paraId="4D8DDB86">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交流输入电压</w:t>
            </w:r>
          </w:p>
        </w:tc>
        <w:tc>
          <w:tcPr>
            <w:tcW w:w="443" w:type="pct"/>
            <w:noWrap w:val="0"/>
            <w:tcMar>
              <w:left w:w="57" w:type="dxa"/>
              <w:right w:w="57" w:type="dxa"/>
            </w:tcMar>
            <w:vAlign w:val="center"/>
          </w:tcPr>
          <w:p w14:paraId="698F5A0A">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V</w:t>
            </w:r>
          </w:p>
        </w:tc>
        <w:tc>
          <w:tcPr>
            <w:tcW w:w="1931" w:type="pct"/>
            <w:noWrap w:val="0"/>
            <w:tcMar>
              <w:left w:w="57" w:type="dxa"/>
              <w:right w:w="57" w:type="dxa"/>
            </w:tcMar>
            <w:vAlign w:val="center"/>
          </w:tcPr>
          <w:p w14:paraId="19DB4556">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电压 220V±</w:t>
            </w:r>
            <w:r>
              <w:rPr>
                <w:rFonts w:hint="eastAsia" w:ascii="仿宋" w:hAnsi="仿宋" w:eastAsia="仿宋" w:cs="仿宋"/>
                <w:sz w:val="21"/>
                <w:szCs w:val="21"/>
                <w:lang w:val="en-US" w:eastAsia="zh-CN"/>
              </w:rPr>
              <w:t>20</w:t>
            </w:r>
            <w:r>
              <w:rPr>
                <w:rFonts w:hint="eastAsia" w:ascii="仿宋" w:hAnsi="仿宋" w:eastAsia="仿宋" w:cs="仿宋"/>
                <w:sz w:val="21"/>
                <w:szCs w:val="21"/>
              </w:rPr>
              <w:t>%</w:t>
            </w:r>
          </w:p>
        </w:tc>
      </w:tr>
      <w:tr w14:paraId="07A9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5E344013">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2</w:t>
            </w:r>
          </w:p>
        </w:tc>
        <w:tc>
          <w:tcPr>
            <w:tcW w:w="443" w:type="pct"/>
            <w:vMerge w:val="continue"/>
            <w:noWrap w:val="0"/>
            <w:tcMar>
              <w:left w:w="57" w:type="dxa"/>
              <w:right w:w="57" w:type="dxa"/>
            </w:tcMar>
            <w:vAlign w:val="center"/>
          </w:tcPr>
          <w:p w14:paraId="402B0F09">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5BF1BE20">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交流电源频率</w:t>
            </w:r>
          </w:p>
        </w:tc>
        <w:tc>
          <w:tcPr>
            <w:tcW w:w="443" w:type="pct"/>
            <w:noWrap w:val="0"/>
            <w:tcMar>
              <w:left w:w="57" w:type="dxa"/>
              <w:right w:w="57" w:type="dxa"/>
            </w:tcMar>
            <w:vAlign w:val="center"/>
          </w:tcPr>
          <w:p w14:paraId="60885905">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Hz</w:t>
            </w:r>
          </w:p>
        </w:tc>
        <w:tc>
          <w:tcPr>
            <w:tcW w:w="1931" w:type="pct"/>
            <w:noWrap w:val="0"/>
            <w:tcMar>
              <w:left w:w="57" w:type="dxa"/>
              <w:right w:w="57" w:type="dxa"/>
            </w:tcMar>
            <w:vAlign w:val="center"/>
          </w:tcPr>
          <w:p w14:paraId="77A275A2">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45-66Hz</w:t>
            </w:r>
          </w:p>
        </w:tc>
      </w:tr>
      <w:tr w14:paraId="460D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1C4AC50E">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3</w:t>
            </w:r>
          </w:p>
        </w:tc>
        <w:tc>
          <w:tcPr>
            <w:tcW w:w="443" w:type="pct"/>
            <w:vMerge w:val="continue"/>
            <w:noWrap w:val="0"/>
            <w:tcMar>
              <w:left w:w="57" w:type="dxa"/>
              <w:right w:w="57" w:type="dxa"/>
            </w:tcMar>
            <w:vAlign w:val="center"/>
          </w:tcPr>
          <w:p w14:paraId="79086007">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21491BE6">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输出功率</w:t>
            </w:r>
          </w:p>
        </w:tc>
        <w:tc>
          <w:tcPr>
            <w:tcW w:w="443" w:type="pct"/>
            <w:noWrap w:val="0"/>
            <w:tcMar>
              <w:left w:w="57" w:type="dxa"/>
              <w:right w:w="57" w:type="dxa"/>
            </w:tcMar>
            <w:vAlign w:val="center"/>
          </w:tcPr>
          <w:p w14:paraId="7D4EF209">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KW</w:t>
            </w:r>
          </w:p>
        </w:tc>
        <w:tc>
          <w:tcPr>
            <w:tcW w:w="1931" w:type="pct"/>
            <w:noWrap w:val="0"/>
            <w:tcMar>
              <w:left w:w="57" w:type="dxa"/>
              <w:right w:w="57" w:type="dxa"/>
            </w:tcMar>
            <w:vAlign w:val="center"/>
          </w:tcPr>
          <w:p w14:paraId="50A1BB8B">
            <w:pPr>
              <w:pStyle w:val="13"/>
              <w:adjustRightInd w:val="0"/>
              <w:snapToGrid w:val="0"/>
              <w:spacing w:before="0" w:after="0"/>
              <w:jc w:val="center"/>
              <w:rPr>
                <w:rFonts w:hint="eastAsia" w:ascii="仿宋" w:hAnsi="仿宋" w:eastAsia="仿宋" w:cs="仿宋"/>
                <w:color w:val="000000"/>
                <w:kern w:val="0"/>
                <w:sz w:val="21"/>
                <w:szCs w:val="21"/>
                <w:lang w:val="zh-CN"/>
              </w:rPr>
            </w:pPr>
            <w:r>
              <w:rPr>
                <w:rFonts w:hint="eastAsia" w:ascii="仿宋" w:hAnsi="仿宋" w:eastAsia="仿宋" w:cs="仿宋"/>
                <w:color w:val="000000"/>
                <w:kern w:val="0"/>
                <w:sz w:val="21"/>
                <w:szCs w:val="21"/>
                <w:lang w:val="zh-CN"/>
              </w:rPr>
              <w:t>7kW</w:t>
            </w:r>
          </w:p>
        </w:tc>
      </w:tr>
      <w:tr w14:paraId="0DB4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0B5B7048">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4</w:t>
            </w:r>
          </w:p>
        </w:tc>
        <w:tc>
          <w:tcPr>
            <w:tcW w:w="443" w:type="pct"/>
            <w:vMerge w:val="continue"/>
            <w:noWrap w:val="0"/>
            <w:tcMar>
              <w:left w:w="57" w:type="dxa"/>
              <w:right w:w="57" w:type="dxa"/>
            </w:tcMar>
            <w:vAlign w:val="center"/>
          </w:tcPr>
          <w:p w14:paraId="1B643B39">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77FC03C1">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输出额定电流</w:t>
            </w:r>
          </w:p>
        </w:tc>
        <w:tc>
          <w:tcPr>
            <w:tcW w:w="443" w:type="pct"/>
            <w:noWrap w:val="0"/>
            <w:tcMar>
              <w:left w:w="57" w:type="dxa"/>
              <w:right w:w="57" w:type="dxa"/>
            </w:tcMar>
            <w:vAlign w:val="center"/>
          </w:tcPr>
          <w:p w14:paraId="3B26E638">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A</w:t>
            </w:r>
          </w:p>
        </w:tc>
        <w:tc>
          <w:tcPr>
            <w:tcW w:w="1931" w:type="pct"/>
            <w:noWrap w:val="0"/>
            <w:tcMar>
              <w:left w:w="57" w:type="dxa"/>
              <w:right w:w="57" w:type="dxa"/>
            </w:tcMar>
            <w:vAlign w:val="center"/>
          </w:tcPr>
          <w:p w14:paraId="7D7A5D43">
            <w:pPr>
              <w:pStyle w:val="13"/>
              <w:adjustRightInd w:val="0"/>
              <w:snapToGrid w:val="0"/>
              <w:spacing w:before="0" w:after="0"/>
              <w:jc w:val="center"/>
              <w:rPr>
                <w:rFonts w:hint="eastAsia" w:ascii="仿宋" w:hAnsi="仿宋" w:eastAsia="仿宋" w:cs="仿宋"/>
                <w:color w:val="000000"/>
                <w:kern w:val="0"/>
                <w:sz w:val="21"/>
                <w:szCs w:val="21"/>
                <w:lang w:val="zh-CN"/>
              </w:rPr>
            </w:pPr>
            <w:r>
              <w:rPr>
                <w:rFonts w:hint="eastAsia" w:ascii="仿宋" w:hAnsi="仿宋" w:eastAsia="仿宋" w:cs="仿宋"/>
                <w:color w:val="000000"/>
                <w:kern w:val="0"/>
                <w:sz w:val="21"/>
                <w:szCs w:val="21"/>
                <w:lang w:val="zh-CN"/>
              </w:rPr>
              <w:t>32A</w:t>
            </w:r>
          </w:p>
        </w:tc>
      </w:tr>
      <w:tr w14:paraId="65E7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336D4C32">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5</w:t>
            </w:r>
          </w:p>
        </w:tc>
        <w:tc>
          <w:tcPr>
            <w:tcW w:w="443" w:type="pct"/>
            <w:vMerge w:val="continue"/>
            <w:noWrap w:val="0"/>
            <w:tcMar>
              <w:left w:w="57" w:type="dxa"/>
              <w:right w:w="57" w:type="dxa"/>
            </w:tcMar>
            <w:vAlign w:val="center"/>
          </w:tcPr>
          <w:p w14:paraId="613F96FE">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7347B27B">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漏电保护装置</w:t>
            </w:r>
          </w:p>
        </w:tc>
        <w:tc>
          <w:tcPr>
            <w:tcW w:w="443" w:type="pct"/>
            <w:noWrap w:val="0"/>
            <w:tcMar>
              <w:left w:w="57" w:type="dxa"/>
              <w:right w:w="57" w:type="dxa"/>
            </w:tcMar>
            <w:vAlign w:val="center"/>
          </w:tcPr>
          <w:p w14:paraId="49EB914B">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mA</w:t>
            </w:r>
          </w:p>
        </w:tc>
        <w:tc>
          <w:tcPr>
            <w:tcW w:w="1931" w:type="pct"/>
            <w:noWrap w:val="0"/>
            <w:tcMar>
              <w:left w:w="57" w:type="dxa"/>
              <w:right w:w="57" w:type="dxa"/>
            </w:tcMar>
            <w:vAlign w:val="center"/>
          </w:tcPr>
          <w:p w14:paraId="1A4FA704">
            <w:pPr>
              <w:pStyle w:val="13"/>
              <w:adjustRightInd w:val="0"/>
              <w:snapToGrid w:val="0"/>
              <w:spacing w:before="0" w:after="0"/>
              <w:jc w:val="center"/>
              <w:rPr>
                <w:rFonts w:hint="eastAsia" w:ascii="仿宋" w:hAnsi="仿宋" w:eastAsia="仿宋" w:cs="仿宋"/>
                <w:color w:val="000000"/>
                <w:kern w:val="0"/>
                <w:sz w:val="21"/>
                <w:szCs w:val="21"/>
                <w:lang w:val="zh-CN"/>
              </w:rPr>
            </w:pPr>
            <w:r>
              <w:rPr>
                <w:rFonts w:hint="eastAsia" w:ascii="仿宋" w:hAnsi="仿宋" w:eastAsia="仿宋" w:cs="仿宋"/>
                <w:color w:val="000000"/>
                <w:kern w:val="0"/>
                <w:sz w:val="21"/>
                <w:szCs w:val="21"/>
                <w:lang w:val="zh-CN"/>
              </w:rPr>
              <w:t>≤30（A型）</w:t>
            </w:r>
          </w:p>
        </w:tc>
      </w:tr>
      <w:tr w14:paraId="1D57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7478DCD4">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6</w:t>
            </w:r>
          </w:p>
        </w:tc>
        <w:tc>
          <w:tcPr>
            <w:tcW w:w="443" w:type="pct"/>
            <w:vMerge w:val="continue"/>
            <w:noWrap w:val="0"/>
            <w:tcMar>
              <w:left w:w="57" w:type="dxa"/>
              <w:right w:w="57" w:type="dxa"/>
            </w:tcMar>
            <w:vAlign w:val="center"/>
          </w:tcPr>
          <w:p w14:paraId="1C0B7A53">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7905E490">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机械强度</w:t>
            </w:r>
          </w:p>
        </w:tc>
        <w:tc>
          <w:tcPr>
            <w:tcW w:w="443" w:type="pct"/>
            <w:noWrap w:val="0"/>
            <w:tcMar>
              <w:left w:w="57" w:type="dxa"/>
              <w:right w:w="57" w:type="dxa"/>
            </w:tcMar>
            <w:vAlign w:val="center"/>
          </w:tcPr>
          <w:p w14:paraId="67E97E2A">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J</w:t>
            </w:r>
          </w:p>
        </w:tc>
        <w:tc>
          <w:tcPr>
            <w:tcW w:w="1931" w:type="pct"/>
            <w:noWrap w:val="0"/>
            <w:tcMar>
              <w:left w:w="57" w:type="dxa"/>
              <w:right w:w="57" w:type="dxa"/>
            </w:tcMar>
            <w:vAlign w:val="center"/>
          </w:tcPr>
          <w:p w14:paraId="559277FD">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0.7</w:t>
            </w:r>
          </w:p>
        </w:tc>
      </w:tr>
      <w:tr w14:paraId="3A11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1C0891D5">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7</w:t>
            </w:r>
          </w:p>
        </w:tc>
        <w:tc>
          <w:tcPr>
            <w:tcW w:w="443" w:type="pct"/>
            <w:vMerge w:val="continue"/>
            <w:noWrap w:val="0"/>
            <w:tcMar>
              <w:left w:w="57" w:type="dxa"/>
              <w:right w:w="57" w:type="dxa"/>
            </w:tcMar>
            <w:vAlign w:val="center"/>
          </w:tcPr>
          <w:p w14:paraId="5B1D4290">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7415FE9C">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静电放电抗扰度</w:t>
            </w:r>
          </w:p>
        </w:tc>
        <w:tc>
          <w:tcPr>
            <w:tcW w:w="443" w:type="pct"/>
            <w:noWrap w:val="0"/>
            <w:tcMar>
              <w:left w:w="57" w:type="dxa"/>
              <w:right w:w="57" w:type="dxa"/>
            </w:tcMar>
            <w:vAlign w:val="center"/>
          </w:tcPr>
          <w:p w14:paraId="7CB0FEF3">
            <w:pPr>
              <w:pStyle w:val="13"/>
              <w:adjustRightInd w:val="0"/>
              <w:snapToGrid w:val="0"/>
              <w:spacing w:before="0" w:after="0"/>
              <w:jc w:val="center"/>
              <w:rPr>
                <w:rFonts w:hint="eastAsia" w:ascii="仿宋" w:hAnsi="仿宋" w:eastAsia="仿宋" w:cs="仿宋"/>
                <w:sz w:val="21"/>
                <w:szCs w:val="21"/>
              </w:rPr>
            </w:pPr>
          </w:p>
        </w:tc>
        <w:tc>
          <w:tcPr>
            <w:tcW w:w="1931" w:type="pct"/>
            <w:noWrap w:val="0"/>
            <w:tcMar>
              <w:left w:w="57" w:type="dxa"/>
              <w:right w:w="57" w:type="dxa"/>
            </w:tcMar>
            <w:vAlign w:val="center"/>
          </w:tcPr>
          <w:p w14:paraId="7324A13B">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3级</w:t>
            </w:r>
          </w:p>
        </w:tc>
      </w:tr>
      <w:tr w14:paraId="66BB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373BAF5E">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8</w:t>
            </w:r>
          </w:p>
        </w:tc>
        <w:tc>
          <w:tcPr>
            <w:tcW w:w="443" w:type="pct"/>
            <w:vMerge w:val="continue"/>
            <w:noWrap w:val="0"/>
            <w:tcMar>
              <w:left w:w="57" w:type="dxa"/>
              <w:right w:w="57" w:type="dxa"/>
            </w:tcMar>
            <w:vAlign w:val="center"/>
          </w:tcPr>
          <w:p w14:paraId="49EAFF2E">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5D13F3CC">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射频电磁场辐射抗扰度</w:t>
            </w:r>
          </w:p>
        </w:tc>
        <w:tc>
          <w:tcPr>
            <w:tcW w:w="443" w:type="pct"/>
            <w:noWrap w:val="0"/>
            <w:tcMar>
              <w:left w:w="57" w:type="dxa"/>
              <w:right w:w="57" w:type="dxa"/>
            </w:tcMar>
            <w:vAlign w:val="center"/>
          </w:tcPr>
          <w:p w14:paraId="042BD2F9">
            <w:pPr>
              <w:pStyle w:val="13"/>
              <w:adjustRightInd w:val="0"/>
              <w:snapToGrid w:val="0"/>
              <w:spacing w:before="0" w:after="0"/>
              <w:jc w:val="center"/>
              <w:rPr>
                <w:rFonts w:hint="eastAsia" w:ascii="仿宋" w:hAnsi="仿宋" w:eastAsia="仿宋" w:cs="仿宋"/>
                <w:sz w:val="21"/>
                <w:szCs w:val="21"/>
              </w:rPr>
            </w:pPr>
          </w:p>
        </w:tc>
        <w:tc>
          <w:tcPr>
            <w:tcW w:w="1931" w:type="pct"/>
            <w:noWrap w:val="0"/>
            <w:tcMar>
              <w:left w:w="57" w:type="dxa"/>
              <w:right w:w="57" w:type="dxa"/>
            </w:tcMar>
            <w:vAlign w:val="center"/>
          </w:tcPr>
          <w:p w14:paraId="2BFEE218">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3级</w:t>
            </w:r>
          </w:p>
        </w:tc>
      </w:tr>
      <w:tr w14:paraId="6D95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37135619">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9</w:t>
            </w:r>
          </w:p>
        </w:tc>
        <w:tc>
          <w:tcPr>
            <w:tcW w:w="443" w:type="pct"/>
            <w:vMerge w:val="continue"/>
            <w:noWrap w:val="0"/>
            <w:tcMar>
              <w:left w:w="57" w:type="dxa"/>
              <w:right w:w="57" w:type="dxa"/>
            </w:tcMar>
            <w:vAlign w:val="center"/>
          </w:tcPr>
          <w:p w14:paraId="54888DB3">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15426E68">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电快速瞬变脉冲群抗扰度</w:t>
            </w:r>
          </w:p>
        </w:tc>
        <w:tc>
          <w:tcPr>
            <w:tcW w:w="443" w:type="pct"/>
            <w:noWrap w:val="0"/>
            <w:tcMar>
              <w:left w:w="57" w:type="dxa"/>
              <w:right w:w="57" w:type="dxa"/>
            </w:tcMar>
            <w:vAlign w:val="center"/>
          </w:tcPr>
          <w:p w14:paraId="2E1AB832">
            <w:pPr>
              <w:pStyle w:val="13"/>
              <w:adjustRightInd w:val="0"/>
              <w:snapToGrid w:val="0"/>
              <w:spacing w:before="0" w:after="0"/>
              <w:jc w:val="center"/>
              <w:rPr>
                <w:rFonts w:hint="eastAsia" w:ascii="仿宋" w:hAnsi="仿宋" w:eastAsia="仿宋" w:cs="仿宋"/>
                <w:sz w:val="21"/>
                <w:szCs w:val="21"/>
              </w:rPr>
            </w:pPr>
          </w:p>
        </w:tc>
        <w:tc>
          <w:tcPr>
            <w:tcW w:w="1931" w:type="pct"/>
            <w:noWrap w:val="0"/>
            <w:tcMar>
              <w:left w:w="57" w:type="dxa"/>
              <w:right w:w="57" w:type="dxa"/>
            </w:tcMar>
            <w:vAlign w:val="center"/>
          </w:tcPr>
          <w:p w14:paraId="20F5EE35">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3级</w:t>
            </w:r>
          </w:p>
        </w:tc>
      </w:tr>
      <w:tr w14:paraId="4737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494F6AD5">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10</w:t>
            </w:r>
          </w:p>
        </w:tc>
        <w:tc>
          <w:tcPr>
            <w:tcW w:w="443" w:type="pct"/>
            <w:vMerge w:val="continue"/>
            <w:noWrap w:val="0"/>
            <w:tcMar>
              <w:left w:w="57" w:type="dxa"/>
              <w:right w:w="57" w:type="dxa"/>
            </w:tcMar>
            <w:vAlign w:val="center"/>
          </w:tcPr>
          <w:p w14:paraId="67F58B1E">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2529E0E3">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浪涌（冲击）抗扰度</w:t>
            </w:r>
          </w:p>
        </w:tc>
        <w:tc>
          <w:tcPr>
            <w:tcW w:w="443" w:type="pct"/>
            <w:noWrap w:val="0"/>
            <w:tcMar>
              <w:left w:w="57" w:type="dxa"/>
              <w:right w:w="57" w:type="dxa"/>
            </w:tcMar>
            <w:vAlign w:val="center"/>
          </w:tcPr>
          <w:p w14:paraId="735BC65C">
            <w:pPr>
              <w:pStyle w:val="13"/>
              <w:adjustRightInd w:val="0"/>
              <w:snapToGrid w:val="0"/>
              <w:spacing w:before="0" w:after="0"/>
              <w:jc w:val="center"/>
              <w:rPr>
                <w:rFonts w:hint="eastAsia" w:ascii="仿宋" w:hAnsi="仿宋" w:eastAsia="仿宋" w:cs="仿宋"/>
                <w:sz w:val="21"/>
                <w:szCs w:val="21"/>
              </w:rPr>
            </w:pPr>
          </w:p>
        </w:tc>
        <w:tc>
          <w:tcPr>
            <w:tcW w:w="1931" w:type="pct"/>
            <w:noWrap w:val="0"/>
            <w:tcMar>
              <w:left w:w="57" w:type="dxa"/>
              <w:right w:w="57" w:type="dxa"/>
            </w:tcMar>
            <w:vAlign w:val="center"/>
          </w:tcPr>
          <w:p w14:paraId="5791534C">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3级</w:t>
            </w:r>
          </w:p>
        </w:tc>
      </w:tr>
      <w:tr w14:paraId="7789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5A1084BA">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11</w:t>
            </w:r>
          </w:p>
        </w:tc>
        <w:tc>
          <w:tcPr>
            <w:tcW w:w="443" w:type="pct"/>
            <w:vMerge w:val="continue"/>
            <w:noWrap w:val="0"/>
            <w:tcMar>
              <w:left w:w="57" w:type="dxa"/>
              <w:right w:w="57" w:type="dxa"/>
            </w:tcMar>
            <w:vAlign w:val="center"/>
          </w:tcPr>
          <w:p w14:paraId="446CA244">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6AB44C34">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电压暂降、短时中断抗扰度试验</w:t>
            </w:r>
          </w:p>
        </w:tc>
        <w:tc>
          <w:tcPr>
            <w:tcW w:w="443" w:type="pct"/>
            <w:noWrap w:val="0"/>
            <w:tcMar>
              <w:left w:w="57" w:type="dxa"/>
              <w:right w:w="57" w:type="dxa"/>
            </w:tcMar>
            <w:vAlign w:val="center"/>
          </w:tcPr>
          <w:p w14:paraId="555756BD">
            <w:pPr>
              <w:pStyle w:val="13"/>
              <w:adjustRightInd w:val="0"/>
              <w:snapToGrid w:val="0"/>
              <w:spacing w:before="0" w:after="0"/>
              <w:jc w:val="center"/>
              <w:rPr>
                <w:rFonts w:hint="eastAsia" w:ascii="仿宋" w:hAnsi="仿宋" w:eastAsia="仿宋" w:cs="仿宋"/>
                <w:sz w:val="21"/>
                <w:szCs w:val="21"/>
              </w:rPr>
            </w:pPr>
          </w:p>
        </w:tc>
        <w:tc>
          <w:tcPr>
            <w:tcW w:w="1931" w:type="pct"/>
            <w:noWrap w:val="0"/>
            <w:tcMar>
              <w:left w:w="57" w:type="dxa"/>
              <w:right w:w="57" w:type="dxa"/>
            </w:tcMar>
            <w:vAlign w:val="center"/>
          </w:tcPr>
          <w:p w14:paraId="32130C18">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GB/T 17626.11</w:t>
            </w:r>
          </w:p>
        </w:tc>
      </w:tr>
      <w:tr w14:paraId="3834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44BAA2E9">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12</w:t>
            </w:r>
          </w:p>
        </w:tc>
        <w:tc>
          <w:tcPr>
            <w:tcW w:w="443" w:type="pct"/>
            <w:vMerge w:val="continue"/>
            <w:noWrap w:val="0"/>
            <w:tcMar>
              <w:left w:w="57" w:type="dxa"/>
              <w:right w:w="57" w:type="dxa"/>
            </w:tcMar>
            <w:vAlign w:val="center"/>
          </w:tcPr>
          <w:p w14:paraId="0004AF88">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2A205302">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待机功耗</w:t>
            </w:r>
          </w:p>
        </w:tc>
        <w:tc>
          <w:tcPr>
            <w:tcW w:w="443" w:type="pct"/>
            <w:noWrap w:val="0"/>
            <w:tcMar>
              <w:left w:w="57" w:type="dxa"/>
              <w:right w:w="57" w:type="dxa"/>
            </w:tcMar>
            <w:vAlign w:val="center"/>
          </w:tcPr>
          <w:p w14:paraId="02384E73">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W</w:t>
            </w:r>
          </w:p>
        </w:tc>
        <w:tc>
          <w:tcPr>
            <w:tcW w:w="1931" w:type="pct"/>
            <w:noWrap w:val="0"/>
            <w:tcMar>
              <w:left w:w="57" w:type="dxa"/>
              <w:right w:w="57" w:type="dxa"/>
            </w:tcMar>
            <w:vAlign w:val="center"/>
          </w:tcPr>
          <w:p w14:paraId="4752DE02">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＜5</w:t>
            </w:r>
          </w:p>
        </w:tc>
      </w:tr>
      <w:tr w14:paraId="56F4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433BF0F4">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13</w:t>
            </w:r>
          </w:p>
        </w:tc>
        <w:tc>
          <w:tcPr>
            <w:tcW w:w="443" w:type="pct"/>
            <w:vMerge w:val="continue"/>
            <w:noWrap w:val="0"/>
            <w:tcMar>
              <w:left w:w="57" w:type="dxa"/>
              <w:right w:w="57" w:type="dxa"/>
            </w:tcMar>
            <w:vAlign w:val="center"/>
          </w:tcPr>
          <w:p w14:paraId="5DC71B89">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56585221">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噪声</w:t>
            </w:r>
          </w:p>
        </w:tc>
        <w:tc>
          <w:tcPr>
            <w:tcW w:w="443" w:type="pct"/>
            <w:noWrap w:val="0"/>
            <w:tcMar>
              <w:left w:w="57" w:type="dxa"/>
              <w:right w:w="57" w:type="dxa"/>
            </w:tcMar>
            <w:vAlign w:val="center"/>
          </w:tcPr>
          <w:p w14:paraId="0762319E">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dB</w:t>
            </w:r>
          </w:p>
        </w:tc>
        <w:tc>
          <w:tcPr>
            <w:tcW w:w="1931" w:type="pct"/>
            <w:noWrap w:val="0"/>
            <w:tcMar>
              <w:left w:w="57" w:type="dxa"/>
              <w:right w:w="57" w:type="dxa"/>
            </w:tcMar>
            <w:vAlign w:val="center"/>
          </w:tcPr>
          <w:p w14:paraId="2A57E673">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＜20</w:t>
            </w:r>
          </w:p>
        </w:tc>
      </w:tr>
      <w:tr w14:paraId="6818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32CF0393">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14</w:t>
            </w:r>
          </w:p>
        </w:tc>
        <w:tc>
          <w:tcPr>
            <w:tcW w:w="443" w:type="pct"/>
            <w:vMerge w:val="continue"/>
            <w:noWrap w:val="0"/>
            <w:tcMar>
              <w:left w:w="57" w:type="dxa"/>
              <w:right w:w="57" w:type="dxa"/>
            </w:tcMar>
            <w:vAlign w:val="center"/>
          </w:tcPr>
          <w:p w14:paraId="209A90C3">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5371EABC">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充电接口</w:t>
            </w:r>
          </w:p>
        </w:tc>
        <w:tc>
          <w:tcPr>
            <w:tcW w:w="443" w:type="pct"/>
            <w:noWrap w:val="0"/>
            <w:tcMar>
              <w:left w:w="57" w:type="dxa"/>
              <w:right w:w="57" w:type="dxa"/>
            </w:tcMar>
            <w:vAlign w:val="center"/>
          </w:tcPr>
          <w:p w14:paraId="7017551B">
            <w:pPr>
              <w:pStyle w:val="13"/>
              <w:adjustRightInd w:val="0"/>
              <w:snapToGrid w:val="0"/>
              <w:spacing w:before="0" w:after="0"/>
              <w:jc w:val="center"/>
              <w:rPr>
                <w:rFonts w:hint="eastAsia" w:ascii="仿宋" w:hAnsi="仿宋" w:eastAsia="仿宋" w:cs="仿宋"/>
                <w:sz w:val="21"/>
                <w:szCs w:val="21"/>
              </w:rPr>
            </w:pPr>
          </w:p>
        </w:tc>
        <w:tc>
          <w:tcPr>
            <w:tcW w:w="1931" w:type="pct"/>
            <w:noWrap w:val="0"/>
            <w:tcMar>
              <w:left w:w="57" w:type="dxa"/>
              <w:right w:w="57" w:type="dxa"/>
            </w:tcMar>
            <w:vAlign w:val="center"/>
          </w:tcPr>
          <w:p w14:paraId="0F74E9DD">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满足GB/T20234.1-2015</w:t>
            </w:r>
          </w:p>
          <w:p w14:paraId="5CB48BC2">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GB/T20234.2-2015</w:t>
            </w:r>
          </w:p>
        </w:tc>
      </w:tr>
      <w:tr w14:paraId="6FAC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2D31FB02">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15</w:t>
            </w:r>
          </w:p>
        </w:tc>
        <w:tc>
          <w:tcPr>
            <w:tcW w:w="443" w:type="pct"/>
            <w:vMerge w:val="continue"/>
            <w:noWrap w:val="0"/>
            <w:tcMar>
              <w:left w:w="57" w:type="dxa"/>
              <w:right w:w="57" w:type="dxa"/>
            </w:tcMar>
            <w:vAlign w:val="center"/>
          </w:tcPr>
          <w:p w14:paraId="619F265D">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393A3E1A">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支付方式</w:t>
            </w:r>
          </w:p>
        </w:tc>
        <w:tc>
          <w:tcPr>
            <w:tcW w:w="443" w:type="pct"/>
            <w:noWrap w:val="0"/>
            <w:tcMar>
              <w:left w:w="57" w:type="dxa"/>
              <w:right w:w="57" w:type="dxa"/>
            </w:tcMar>
            <w:vAlign w:val="center"/>
          </w:tcPr>
          <w:p w14:paraId="12BE76B5">
            <w:pPr>
              <w:pStyle w:val="13"/>
              <w:adjustRightInd w:val="0"/>
              <w:snapToGrid w:val="0"/>
              <w:spacing w:before="0" w:after="0"/>
              <w:jc w:val="center"/>
              <w:rPr>
                <w:rFonts w:hint="eastAsia" w:ascii="仿宋" w:hAnsi="仿宋" w:eastAsia="仿宋" w:cs="仿宋"/>
                <w:sz w:val="21"/>
                <w:szCs w:val="21"/>
              </w:rPr>
            </w:pPr>
          </w:p>
        </w:tc>
        <w:tc>
          <w:tcPr>
            <w:tcW w:w="1931" w:type="pct"/>
            <w:noWrap w:val="0"/>
            <w:tcMar>
              <w:left w:w="57" w:type="dxa"/>
              <w:right w:w="57" w:type="dxa"/>
            </w:tcMar>
            <w:vAlign w:val="center"/>
          </w:tcPr>
          <w:p w14:paraId="35F3FF91">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扫码充电、刷卡充电</w:t>
            </w:r>
          </w:p>
        </w:tc>
      </w:tr>
      <w:tr w14:paraId="50E6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6AD596E2">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16</w:t>
            </w:r>
          </w:p>
        </w:tc>
        <w:tc>
          <w:tcPr>
            <w:tcW w:w="443" w:type="pct"/>
            <w:vMerge w:val="continue"/>
            <w:noWrap w:val="0"/>
            <w:tcMar>
              <w:left w:w="57" w:type="dxa"/>
              <w:right w:w="57" w:type="dxa"/>
            </w:tcMar>
            <w:vAlign w:val="center"/>
          </w:tcPr>
          <w:p w14:paraId="1396C12D">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203A5636">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充电方式</w:t>
            </w:r>
          </w:p>
        </w:tc>
        <w:tc>
          <w:tcPr>
            <w:tcW w:w="443" w:type="pct"/>
            <w:noWrap w:val="0"/>
            <w:tcMar>
              <w:left w:w="57" w:type="dxa"/>
              <w:right w:w="57" w:type="dxa"/>
            </w:tcMar>
            <w:vAlign w:val="center"/>
          </w:tcPr>
          <w:p w14:paraId="690D3C6C">
            <w:pPr>
              <w:pStyle w:val="13"/>
              <w:adjustRightInd w:val="0"/>
              <w:snapToGrid w:val="0"/>
              <w:spacing w:before="0" w:after="0"/>
              <w:jc w:val="center"/>
              <w:rPr>
                <w:rFonts w:hint="eastAsia" w:ascii="仿宋" w:hAnsi="仿宋" w:eastAsia="仿宋" w:cs="仿宋"/>
                <w:sz w:val="21"/>
                <w:szCs w:val="21"/>
              </w:rPr>
            </w:pPr>
          </w:p>
        </w:tc>
        <w:tc>
          <w:tcPr>
            <w:tcW w:w="1931" w:type="pct"/>
            <w:noWrap w:val="0"/>
            <w:tcMar>
              <w:left w:w="57" w:type="dxa"/>
              <w:right w:w="57" w:type="dxa"/>
            </w:tcMar>
            <w:vAlign w:val="center"/>
          </w:tcPr>
          <w:p w14:paraId="011A2D61">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自动充满、按金额、电量、时间充电</w:t>
            </w:r>
          </w:p>
        </w:tc>
      </w:tr>
      <w:tr w14:paraId="633C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3F43C928">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17</w:t>
            </w:r>
          </w:p>
        </w:tc>
        <w:tc>
          <w:tcPr>
            <w:tcW w:w="443" w:type="pct"/>
            <w:vMerge w:val="continue"/>
            <w:noWrap w:val="0"/>
            <w:tcMar>
              <w:left w:w="57" w:type="dxa"/>
              <w:right w:w="57" w:type="dxa"/>
            </w:tcMar>
            <w:vAlign w:val="center"/>
          </w:tcPr>
          <w:p w14:paraId="442738E9">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49088DC7">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介电强度</w:t>
            </w:r>
          </w:p>
        </w:tc>
        <w:tc>
          <w:tcPr>
            <w:tcW w:w="443" w:type="pct"/>
            <w:noWrap w:val="0"/>
            <w:tcMar>
              <w:left w:w="57" w:type="dxa"/>
              <w:right w:w="57" w:type="dxa"/>
            </w:tcMar>
            <w:vAlign w:val="center"/>
          </w:tcPr>
          <w:p w14:paraId="18C369E5">
            <w:pPr>
              <w:pStyle w:val="13"/>
              <w:adjustRightInd w:val="0"/>
              <w:snapToGrid w:val="0"/>
              <w:spacing w:before="0" w:after="0"/>
              <w:jc w:val="center"/>
              <w:rPr>
                <w:rFonts w:hint="eastAsia" w:ascii="仿宋" w:hAnsi="仿宋" w:eastAsia="仿宋" w:cs="仿宋"/>
                <w:sz w:val="21"/>
                <w:szCs w:val="21"/>
              </w:rPr>
            </w:pPr>
          </w:p>
        </w:tc>
        <w:tc>
          <w:tcPr>
            <w:tcW w:w="1931" w:type="pct"/>
            <w:noWrap w:val="0"/>
            <w:tcMar>
              <w:left w:w="57" w:type="dxa"/>
              <w:right w:w="57" w:type="dxa"/>
            </w:tcMar>
            <w:vAlign w:val="center"/>
          </w:tcPr>
          <w:p w14:paraId="10B4B40F">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≥2000V</w:t>
            </w:r>
          </w:p>
        </w:tc>
      </w:tr>
      <w:tr w14:paraId="30B8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3CCFCC0B">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18</w:t>
            </w:r>
          </w:p>
        </w:tc>
        <w:tc>
          <w:tcPr>
            <w:tcW w:w="443" w:type="pct"/>
            <w:vMerge w:val="continue"/>
            <w:noWrap w:val="0"/>
            <w:tcMar>
              <w:left w:w="57" w:type="dxa"/>
              <w:right w:w="57" w:type="dxa"/>
            </w:tcMar>
            <w:vAlign w:val="center"/>
          </w:tcPr>
          <w:p w14:paraId="4B8B7CA6">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2E766C2A">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漏电流</w:t>
            </w:r>
          </w:p>
        </w:tc>
        <w:tc>
          <w:tcPr>
            <w:tcW w:w="443" w:type="pct"/>
            <w:noWrap w:val="0"/>
            <w:tcMar>
              <w:left w:w="57" w:type="dxa"/>
              <w:right w:w="57" w:type="dxa"/>
            </w:tcMar>
            <w:vAlign w:val="center"/>
          </w:tcPr>
          <w:p w14:paraId="263E8A35">
            <w:pPr>
              <w:pStyle w:val="13"/>
              <w:adjustRightInd w:val="0"/>
              <w:snapToGrid w:val="0"/>
              <w:spacing w:before="0" w:after="0"/>
              <w:jc w:val="center"/>
              <w:rPr>
                <w:rFonts w:hint="eastAsia" w:ascii="仿宋" w:hAnsi="仿宋" w:eastAsia="仿宋" w:cs="仿宋"/>
                <w:sz w:val="21"/>
                <w:szCs w:val="21"/>
              </w:rPr>
            </w:pPr>
          </w:p>
        </w:tc>
        <w:tc>
          <w:tcPr>
            <w:tcW w:w="1931" w:type="pct"/>
            <w:noWrap w:val="0"/>
            <w:tcMar>
              <w:left w:w="57" w:type="dxa"/>
              <w:right w:w="57" w:type="dxa"/>
            </w:tcMar>
            <w:vAlign w:val="center"/>
          </w:tcPr>
          <w:p w14:paraId="10E32939">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≤3.5</w:t>
            </w:r>
            <w:r>
              <w:rPr>
                <w:rFonts w:hint="eastAsia" w:ascii="仿宋" w:hAnsi="仿宋" w:eastAsia="仿宋" w:cs="仿宋"/>
                <w:sz w:val="21"/>
                <w:szCs w:val="21"/>
                <w:lang w:val="en-US" w:eastAsia="zh-CN"/>
              </w:rPr>
              <w:t>m</w:t>
            </w:r>
            <w:r>
              <w:rPr>
                <w:rFonts w:hint="eastAsia" w:ascii="仿宋" w:hAnsi="仿宋" w:eastAsia="仿宋" w:cs="仿宋"/>
                <w:sz w:val="21"/>
                <w:szCs w:val="21"/>
              </w:rPr>
              <w:t>A</w:t>
            </w:r>
          </w:p>
        </w:tc>
      </w:tr>
      <w:tr w14:paraId="5E5D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43" w:type="pct"/>
            <w:noWrap w:val="0"/>
            <w:vAlign w:val="center"/>
          </w:tcPr>
          <w:p w14:paraId="3FFF9E52">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19</w:t>
            </w:r>
          </w:p>
        </w:tc>
        <w:tc>
          <w:tcPr>
            <w:tcW w:w="443" w:type="pct"/>
            <w:vMerge w:val="continue"/>
            <w:noWrap w:val="0"/>
            <w:tcMar>
              <w:left w:w="57" w:type="dxa"/>
              <w:right w:w="57" w:type="dxa"/>
            </w:tcMar>
            <w:vAlign w:val="center"/>
          </w:tcPr>
          <w:p w14:paraId="62D1D6CE">
            <w:pPr>
              <w:pStyle w:val="13"/>
              <w:adjustRightInd w:val="0"/>
              <w:snapToGrid w:val="0"/>
              <w:spacing w:before="0" w:after="0"/>
              <w:jc w:val="center"/>
              <w:rPr>
                <w:rFonts w:hint="eastAsia" w:ascii="仿宋" w:hAnsi="仿宋" w:eastAsia="仿宋" w:cs="仿宋"/>
                <w:sz w:val="21"/>
                <w:szCs w:val="21"/>
              </w:rPr>
            </w:pPr>
          </w:p>
        </w:tc>
        <w:tc>
          <w:tcPr>
            <w:tcW w:w="1737" w:type="pct"/>
            <w:noWrap w:val="0"/>
            <w:tcMar>
              <w:left w:w="57" w:type="dxa"/>
              <w:right w:w="57" w:type="dxa"/>
            </w:tcMar>
            <w:vAlign w:val="center"/>
          </w:tcPr>
          <w:p w14:paraId="632CA5A6">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防护等级</w:t>
            </w:r>
          </w:p>
        </w:tc>
        <w:tc>
          <w:tcPr>
            <w:tcW w:w="443" w:type="pct"/>
            <w:noWrap w:val="0"/>
            <w:tcMar>
              <w:left w:w="57" w:type="dxa"/>
              <w:right w:w="57" w:type="dxa"/>
            </w:tcMar>
            <w:vAlign w:val="center"/>
          </w:tcPr>
          <w:p w14:paraId="31219F27">
            <w:pPr>
              <w:pStyle w:val="13"/>
              <w:adjustRightInd w:val="0"/>
              <w:snapToGrid w:val="0"/>
              <w:spacing w:before="0" w:after="0"/>
              <w:jc w:val="center"/>
              <w:rPr>
                <w:rFonts w:hint="eastAsia" w:ascii="仿宋" w:hAnsi="仿宋" w:eastAsia="仿宋" w:cs="仿宋"/>
                <w:sz w:val="21"/>
                <w:szCs w:val="21"/>
              </w:rPr>
            </w:pPr>
          </w:p>
        </w:tc>
        <w:tc>
          <w:tcPr>
            <w:tcW w:w="1931" w:type="pct"/>
            <w:noWrap w:val="0"/>
            <w:tcMar>
              <w:left w:w="57" w:type="dxa"/>
              <w:right w:w="57" w:type="dxa"/>
            </w:tcMar>
            <w:vAlign w:val="center"/>
          </w:tcPr>
          <w:p w14:paraId="2160376A">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≥IP65</w:t>
            </w:r>
          </w:p>
        </w:tc>
      </w:tr>
    </w:tbl>
    <w:p w14:paraId="1459AEC6">
      <w:pPr>
        <w:bidi w:val="0"/>
        <w:rPr>
          <w:rFonts w:hint="eastAsia" w:ascii="仿宋" w:hAnsi="仿宋" w:eastAsia="仿宋" w:cs="仿宋"/>
          <w:sz w:val="30"/>
          <w:szCs w:val="30"/>
        </w:rPr>
      </w:pPr>
      <w:r>
        <w:rPr>
          <w:rFonts w:hint="eastAsia" w:ascii="仿宋" w:hAnsi="仿宋" w:eastAsia="仿宋" w:cs="仿宋"/>
          <w:sz w:val="30"/>
          <w:szCs w:val="30"/>
          <w:lang w:val="en-US" w:eastAsia="zh-CN"/>
        </w:rPr>
        <w:t>4.4.4</w:t>
      </w:r>
      <w:r>
        <w:rPr>
          <w:rFonts w:hint="eastAsia" w:ascii="仿宋" w:hAnsi="仿宋" w:eastAsia="仿宋" w:cs="仿宋"/>
          <w:sz w:val="30"/>
          <w:szCs w:val="30"/>
        </w:rPr>
        <w:t xml:space="preserve"> 支持过零点关断控制、倾倒检测，。</w:t>
      </w:r>
    </w:p>
    <w:p w14:paraId="72E080F6">
      <w:pPr>
        <w:bidi w:val="0"/>
        <w:rPr>
          <w:rFonts w:hint="eastAsia" w:ascii="仿宋" w:hAnsi="仿宋" w:eastAsia="仿宋" w:cs="仿宋"/>
          <w:sz w:val="30"/>
          <w:szCs w:val="30"/>
        </w:rPr>
      </w:pPr>
      <w:r>
        <w:rPr>
          <w:rFonts w:hint="eastAsia" w:ascii="仿宋" w:hAnsi="仿宋" w:eastAsia="仿宋" w:cs="仿宋"/>
          <w:sz w:val="30"/>
          <w:szCs w:val="30"/>
          <w:lang w:val="en-US" w:eastAsia="zh-CN"/>
        </w:rPr>
        <w:t>4.4.5</w:t>
      </w:r>
      <w:r>
        <w:rPr>
          <w:rFonts w:hint="eastAsia" w:ascii="仿宋" w:hAnsi="仿宋" w:eastAsia="仿宋" w:cs="仿宋"/>
          <w:sz w:val="30"/>
          <w:szCs w:val="30"/>
        </w:rPr>
        <w:t>操作与通讯：扫码 / 刷卡操作，4G / 蓝牙通讯（选配以太网），支持峰谷电价优化、离线充电。</w:t>
      </w:r>
    </w:p>
    <w:p w14:paraId="7C1CF14B">
      <w:pPr>
        <w:bidi w:val="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4.4.6安装方式：</w:t>
      </w:r>
      <w:r>
        <w:rPr>
          <w:rFonts w:hint="eastAsia" w:ascii="仿宋" w:hAnsi="仿宋" w:eastAsia="仿宋" w:cs="仿宋"/>
          <w:sz w:val="28"/>
          <w:szCs w:val="28"/>
          <w:highlight w:val="none"/>
          <w:lang w:val="en-US" w:eastAsia="zh-CN"/>
        </w:rPr>
        <w:t>立柱式，慢充基础安装。</w:t>
      </w:r>
    </w:p>
    <w:p w14:paraId="73A82B06">
      <w:pPr>
        <w:bidi w:val="0"/>
        <w:rPr>
          <w:rFonts w:hint="eastAsia" w:ascii="宋体" w:hAnsi="宋体" w:cs="宋体"/>
          <w:b/>
          <w:bCs/>
          <w:snapToGrid w:val="0"/>
          <w:color w:val="000000"/>
          <w:sz w:val="28"/>
          <w:szCs w:val="28"/>
          <w:lang w:eastAsia="zh-CN"/>
        </w:rPr>
      </w:pPr>
      <w:bookmarkStart w:id="6" w:name="_Toc529979653"/>
      <w:bookmarkStart w:id="7" w:name="_Toc161671621"/>
      <w:r>
        <w:rPr>
          <w:rFonts w:hint="eastAsia" w:ascii="宋体" w:hAnsi="宋体" w:cs="宋体"/>
          <w:b/>
          <w:bCs/>
          <w:snapToGrid w:val="0"/>
          <w:color w:val="000000"/>
          <w:sz w:val="28"/>
          <w:szCs w:val="28"/>
          <w:lang w:val="en-US" w:eastAsia="zh-CN"/>
        </w:rPr>
        <w:t>5 施工与</w:t>
      </w:r>
      <w:r>
        <w:rPr>
          <w:rFonts w:hint="eastAsia" w:ascii="宋体" w:hAnsi="宋体" w:cs="宋体"/>
          <w:b/>
          <w:bCs/>
          <w:snapToGrid w:val="0"/>
          <w:color w:val="000000"/>
          <w:sz w:val="28"/>
          <w:szCs w:val="28"/>
        </w:rPr>
        <w:t>技术</w:t>
      </w:r>
      <w:bookmarkEnd w:id="6"/>
      <w:bookmarkEnd w:id="7"/>
      <w:r>
        <w:rPr>
          <w:rFonts w:hint="eastAsia" w:ascii="宋体" w:hAnsi="宋体" w:cs="宋体"/>
          <w:b/>
          <w:bCs/>
          <w:snapToGrid w:val="0"/>
          <w:color w:val="000000"/>
          <w:sz w:val="28"/>
          <w:szCs w:val="28"/>
          <w:lang w:eastAsia="zh-CN"/>
        </w:rPr>
        <w:t>要求</w:t>
      </w:r>
    </w:p>
    <w:p w14:paraId="023F016B">
      <w:pPr>
        <w:bidi w:val="0"/>
        <w:rPr>
          <w:rFonts w:hint="eastAsia" w:ascii="仿宋" w:hAnsi="仿宋" w:eastAsia="仿宋" w:cs="仿宋"/>
          <w:sz w:val="30"/>
          <w:szCs w:val="30"/>
        </w:rPr>
      </w:pPr>
      <w:r>
        <w:rPr>
          <w:rFonts w:hint="eastAsia" w:ascii="仿宋" w:hAnsi="仿宋" w:eastAsia="仿宋" w:cs="仿宋"/>
          <w:sz w:val="30"/>
          <w:szCs w:val="30"/>
          <w:lang w:val="en-US" w:eastAsia="zh-CN"/>
        </w:rPr>
        <w:t>5.1</w:t>
      </w:r>
      <w:r>
        <w:rPr>
          <w:rFonts w:hint="eastAsia" w:ascii="仿宋" w:hAnsi="仿宋" w:eastAsia="仿宋" w:cs="仿宋"/>
          <w:sz w:val="30"/>
          <w:szCs w:val="30"/>
        </w:rPr>
        <w:t>线缆敷设</w:t>
      </w:r>
    </w:p>
    <w:p w14:paraId="17DA00F0">
      <w:pPr>
        <w:bidi w:val="0"/>
        <w:rPr>
          <w:rFonts w:hint="eastAsia" w:ascii="仿宋" w:hAnsi="仿宋" w:eastAsia="仿宋" w:cs="仿宋"/>
          <w:sz w:val="30"/>
          <w:szCs w:val="30"/>
        </w:rPr>
      </w:pPr>
      <w:r>
        <w:rPr>
          <w:rFonts w:hint="eastAsia" w:ascii="仿宋" w:hAnsi="仿宋" w:eastAsia="仿宋" w:cs="仿宋"/>
          <w:sz w:val="30"/>
          <w:szCs w:val="30"/>
          <w:lang w:val="en-US" w:eastAsia="zh-CN"/>
        </w:rPr>
        <w:t>5.1.1</w:t>
      </w:r>
      <w:r>
        <w:rPr>
          <w:rFonts w:hint="eastAsia" w:ascii="仿宋" w:hAnsi="仿宋" w:eastAsia="仿宋" w:cs="仿宋"/>
          <w:sz w:val="30"/>
          <w:szCs w:val="30"/>
        </w:rPr>
        <w:t>流程：进场检验→电气扫管→线缆敷设→线缆连接→绝缘摇测→成品保护。</w:t>
      </w:r>
    </w:p>
    <w:p w14:paraId="730293B6">
      <w:pPr>
        <w:bidi w:val="0"/>
        <w:rPr>
          <w:rFonts w:hint="eastAsia" w:ascii="仿宋" w:hAnsi="仿宋" w:eastAsia="仿宋" w:cs="仿宋"/>
          <w:sz w:val="30"/>
          <w:szCs w:val="30"/>
        </w:rPr>
      </w:pPr>
      <w:r>
        <w:rPr>
          <w:rFonts w:hint="eastAsia" w:ascii="仿宋" w:hAnsi="仿宋" w:eastAsia="仿宋" w:cs="仿宋"/>
          <w:sz w:val="30"/>
          <w:szCs w:val="30"/>
          <w:lang w:val="en-US" w:eastAsia="zh-CN"/>
        </w:rPr>
        <w:t>5.1.2</w:t>
      </w:r>
      <w:r>
        <w:rPr>
          <w:rFonts w:hint="eastAsia" w:ascii="仿宋" w:hAnsi="仿宋" w:eastAsia="仿宋" w:cs="仿宋"/>
          <w:sz w:val="30"/>
          <w:szCs w:val="30"/>
        </w:rPr>
        <w:t>技术要点</w:t>
      </w:r>
    </w:p>
    <w:p w14:paraId="560B82BA">
      <w:pPr>
        <w:bidi w:val="0"/>
        <w:rPr>
          <w:rFonts w:hint="eastAsia" w:ascii="仿宋" w:hAnsi="仿宋" w:eastAsia="仿宋" w:cs="仿宋"/>
          <w:sz w:val="30"/>
          <w:szCs w:val="30"/>
        </w:rPr>
      </w:pPr>
      <w:r>
        <w:rPr>
          <w:rFonts w:hint="eastAsia" w:ascii="仿宋" w:hAnsi="仿宋" w:eastAsia="仿宋" w:cs="仿宋"/>
          <w:sz w:val="30"/>
          <w:szCs w:val="30"/>
        </w:rPr>
        <w:t>电缆穿管前清理管内杂物，管口加护口，不同电压等级线缆分槽敷设。接头采用涮锡工艺，并用高压胶布、黑胶布双重绝缘，接地线须为黄绿双色。埋地电缆穿 PVC 管保护，穿越道路时加钢套管，两端预留 1-2m 检修长度。</w:t>
      </w:r>
    </w:p>
    <w:p w14:paraId="3E3C9352">
      <w:pPr>
        <w:bidi w:val="0"/>
        <w:rPr>
          <w:rFonts w:hint="eastAsia" w:ascii="仿宋" w:hAnsi="仿宋" w:eastAsia="仿宋" w:cs="仿宋"/>
          <w:sz w:val="30"/>
          <w:szCs w:val="30"/>
        </w:rPr>
      </w:pPr>
      <w:r>
        <w:rPr>
          <w:rFonts w:hint="eastAsia" w:ascii="仿宋" w:hAnsi="仿宋" w:eastAsia="仿宋" w:cs="仿宋"/>
          <w:sz w:val="30"/>
          <w:szCs w:val="30"/>
          <w:lang w:val="en-US" w:eastAsia="zh-CN"/>
        </w:rPr>
        <w:t>5.2</w:t>
      </w:r>
      <w:r>
        <w:rPr>
          <w:rFonts w:hint="eastAsia" w:ascii="仿宋" w:hAnsi="仿宋" w:eastAsia="仿宋" w:cs="仿宋"/>
          <w:sz w:val="30"/>
          <w:szCs w:val="30"/>
        </w:rPr>
        <w:t>配管配线要求</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20"/>
        <w:gridCol w:w="3163"/>
        <w:gridCol w:w="3863"/>
      </w:tblGrid>
      <w:tr w14:paraId="5DCC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blHeader/>
        </w:trPr>
        <w:tc>
          <w:tcPr>
            <w:tcW w:w="1820" w:type="dxa"/>
            <w:tcBorders>
              <w:top w:val="nil"/>
              <w:left w:val="nil"/>
              <w:bottom w:val="nil"/>
            </w:tcBorders>
            <w:shd w:val="clear" w:color="auto" w:fill="auto"/>
            <w:tcMar>
              <w:top w:w="180" w:type="dxa"/>
              <w:left w:w="270" w:type="dxa"/>
              <w:bottom w:w="180" w:type="dxa"/>
              <w:right w:w="270" w:type="dxa"/>
            </w:tcMar>
            <w:vAlign w:val="center"/>
          </w:tcPr>
          <w:p w14:paraId="3A2363F8">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lang w:val="en-US" w:eastAsia="zh-CN"/>
              </w:rPr>
              <w:t>材料名称</w:t>
            </w:r>
          </w:p>
        </w:tc>
        <w:tc>
          <w:tcPr>
            <w:tcW w:w="3163" w:type="dxa"/>
            <w:tcBorders>
              <w:top w:val="nil"/>
              <w:left w:val="nil"/>
              <w:bottom w:val="nil"/>
            </w:tcBorders>
            <w:shd w:val="clear" w:color="auto" w:fill="auto"/>
            <w:tcMar>
              <w:top w:w="180" w:type="dxa"/>
              <w:left w:w="270" w:type="dxa"/>
              <w:bottom w:w="180" w:type="dxa"/>
              <w:right w:w="270" w:type="dxa"/>
            </w:tcMar>
            <w:vAlign w:val="center"/>
          </w:tcPr>
          <w:p w14:paraId="1275678F">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lang w:val="en-US" w:eastAsia="zh-CN"/>
              </w:rPr>
              <w:t>规格型号</w:t>
            </w:r>
          </w:p>
        </w:tc>
        <w:tc>
          <w:tcPr>
            <w:tcW w:w="3863" w:type="dxa"/>
            <w:tcBorders>
              <w:top w:val="nil"/>
              <w:left w:val="nil"/>
              <w:bottom w:val="nil"/>
              <w:right w:val="nil"/>
            </w:tcBorders>
            <w:shd w:val="clear" w:color="auto" w:fill="auto"/>
            <w:tcMar>
              <w:top w:w="180" w:type="dxa"/>
              <w:left w:w="270" w:type="dxa"/>
              <w:bottom w:w="180" w:type="dxa"/>
              <w:right w:w="270" w:type="dxa"/>
            </w:tcMar>
            <w:vAlign w:val="center"/>
          </w:tcPr>
          <w:p w14:paraId="6D4953F2">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lang w:val="en-US" w:eastAsia="zh-CN"/>
              </w:rPr>
              <w:t>技术要求</w:t>
            </w:r>
          </w:p>
        </w:tc>
      </w:tr>
      <w:tr w14:paraId="3AE9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820" w:type="dxa"/>
            <w:tcBorders>
              <w:top w:val="nil"/>
              <w:left w:val="nil"/>
              <w:bottom w:val="nil"/>
            </w:tcBorders>
            <w:shd w:val="clear" w:color="auto" w:fill="auto"/>
            <w:tcMar>
              <w:top w:w="180" w:type="dxa"/>
              <w:left w:w="270" w:type="dxa"/>
              <w:bottom w:w="180" w:type="dxa"/>
              <w:right w:w="270" w:type="dxa"/>
            </w:tcMar>
            <w:vAlign w:val="center"/>
          </w:tcPr>
          <w:p w14:paraId="0E4858F3">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lang w:val="en-US" w:eastAsia="zh-CN"/>
              </w:rPr>
              <w:t>低压桥架</w:t>
            </w:r>
          </w:p>
        </w:tc>
        <w:tc>
          <w:tcPr>
            <w:tcW w:w="3163" w:type="dxa"/>
            <w:tcBorders>
              <w:top w:val="nil"/>
              <w:left w:val="nil"/>
              <w:bottom w:val="nil"/>
            </w:tcBorders>
            <w:shd w:val="clear" w:color="auto" w:fill="auto"/>
            <w:tcMar>
              <w:top w:w="180" w:type="dxa"/>
              <w:left w:w="270" w:type="dxa"/>
              <w:bottom w:w="180" w:type="dxa"/>
              <w:right w:w="270" w:type="dxa"/>
            </w:tcMar>
            <w:vAlign w:val="center"/>
          </w:tcPr>
          <w:p w14:paraId="5D785E08">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lang w:val="en-US" w:eastAsia="zh-CN"/>
              </w:rPr>
              <w:t>200×100/100×100</w:t>
            </w:r>
          </w:p>
        </w:tc>
        <w:tc>
          <w:tcPr>
            <w:tcW w:w="3863" w:type="dxa"/>
            <w:tcBorders>
              <w:top w:val="nil"/>
              <w:left w:val="nil"/>
              <w:bottom w:val="nil"/>
              <w:right w:val="nil"/>
            </w:tcBorders>
            <w:shd w:val="clear" w:color="auto" w:fill="auto"/>
            <w:tcMar>
              <w:top w:w="180" w:type="dxa"/>
              <w:left w:w="270" w:type="dxa"/>
              <w:bottom w:w="180" w:type="dxa"/>
              <w:right w:w="270" w:type="dxa"/>
            </w:tcMar>
            <w:vAlign w:val="center"/>
          </w:tcPr>
          <w:p w14:paraId="50D65607">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lang w:val="en-US" w:eastAsia="zh-CN"/>
              </w:rPr>
              <w:t>采用304不锈钢材料</w:t>
            </w:r>
          </w:p>
        </w:tc>
      </w:tr>
      <w:tr w14:paraId="77EC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20" w:type="dxa"/>
            <w:tcBorders>
              <w:top w:val="nil"/>
              <w:left w:val="nil"/>
              <w:bottom w:val="nil"/>
            </w:tcBorders>
            <w:shd w:val="clear" w:color="auto" w:fill="auto"/>
            <w:tcMar>
              <w:top w:w="180" w:type="dxa"/>
              <w:left w:w="270" w:type="dxa"/>
              <w:bottom w:w="180" w:type="dxa"/>
              <w:right w:w="270" w:type="dxa"/>
            </w:tcMar>
            <w:vAlign w:val="center"/>
          </w:tcPr>
          <w:p w14:paraId="6AE92351">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lang w:val="en-US" w:eastAsia="zh-CN"/>
              </w:rPr>
              <w:t>电力电缆管</w:t>
            </w:r>
          </w:p>
        </w:tc>
        <w:tc>
          <w:tcPr>
            <w:tcW w:w="3163" w:type="dxa"/>
            <w:tcBorders>
              <w:top w:val="nil"/>
              <w:left w:val="nil"/>
              <w:bottom w:val="nil"/>
            </w:tcBorders>
            <w:shd w:val="clear" w:color="auto" w:fill="auto"/>
            <w:tcMar>
              <w:top w:w="180" w:type="dxa"/>
              <w:left w:w="270" w:type="dxa"/>
              <w:bottom w:w="180" w:type="dxa"/>
              <w:right w:w="270" w:type="dxa"/>
            </w:tcMar>
            <w:vAlign w:val="center"/>
          </w:tcPr>
          <w:p w14:paraId="7AC4F6BA">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lang w:val="en-US" w:eastAsia="zh-CN"/>
              </w:rPr>
              <w:t>PVC∅32</w:t>
            </w:r>
          </w:p>
        </w:tc>
        <w:tc>
          <w:tcPr>
            <w:tcW w:w="3863" w:type="dxa"/>
            <w:tcBorders>
              <w:top w:val="nil"/>
              <w:left w:val="nil"/>
              <w:bottom w:val="nil"/>
              <w:right w:val="nil"/>
            </w:tcBorders>
            <w:shd w:val="clear" w:color="auto" w:fill="auto"/>
            <w:tcMar>
              <w:top w:w="180" w:type="dxa"/>
              <w:left w:w="270" w:type="dxa"/>
              <w:bottom w:w="180" w:type="dxa"/>
              <w:right w:w="270" w:type="dxa"/>
            </w:tcMar>
            <w:vAlign w:val="center"/>
          </w:tcPr>
          <w:p w14:paraId="6591B54B">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lang w:val="en-US" w:eastAsia="zh-CN"/>
              </w:rPr>
              <w:t>抗压强度≥15MPa，内壁光滑</w:t>
            </w:r>
          </w:p>
        </w:tc>
      </w:tr>
      <w:tr w14:paraId="1163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20" w:type="dxa"/>
            <w:tcBorders>
              <w:top w:val="nil"/>
              <w:left w:val="nil"/>
              <w:bottom w:val="nil"/>
            </w:tcBorders>
            <w:shd w:val="clear" w:color="auto" w:fill="auto"/>
            <w:tcMar>
              <w:top w:w="180" w:type="dxa"/>
              <w:left w:w="270" w:type="dxa"/>
              <w:bottom w:w="180" w:type="dxa"/>
              <w:right w:w="270" w:type="dxa"/>
            </w:tcMar>
            <w:vAlign w:val="center"/>
          </w:tcPr>
          <w:p w14:paraId="48AF120D">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lang w:val="en-US" w:eastAsia="zh-CN"/>
              </w:rPr>
              <w:t>电缆沟</w:t>
            </w:r>
          </w:p>
        </w:tc>
        <w:tc>
          <w:tcPr>
            <w:tcW w:w="3163" w:type="dxa"/>
            <w:tcBorders>
              <w:top w:val="nil"/>
              <w:left w:val="nil"/>
              <w:bottom w:val="nil"/>
            </w:tcBorders>
            <w:shd w:val="clear" w:color="auto" w:fill="auto"/>
            <w:tcMar>
              <w:top w:w="180" w:type="dxa"/>
              <w:left w:w="270" w:type="dxa"/>
              <w:bottom w:w="180" w:type="dxa"/>
              <w:right w:w="270" w:type="dxa"/>
            </w:tcMar>
            <w:vAlign w:val="center"/>
          </w:tcPr>
          <w:p w14:paraId="73556BB0">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lang w:val="en-US" w:eastAsia="zh-CN"/>
              </w:rPr>
              <w:t>600×600mm</w:t>
            </w:r>
          </w:p>
        </w:tc>
        <w:tc>
          <w:tcPr>
            <w:tcW w:w="3863" w:type="dxa"/>
            <w:tcBorders>
              <w:top w:val="nil"/>
              <w:left w:val="nil"/>
              <w:bottom w:val="nil"/>
              <w:right w:val="nil"/>
            </w:tcBorders>
            <w:shd w:val="clear" w:color="auto" w:fill="auto"/>
            <w:tcMar>
              <w:top w:w="180" w:type="dxa"/>
              <w:left w:w="270" w:type="dxa"/>
              <w:bottom w:w="180" w:type="dxa"/>
              <w:right w:w="270" w:type="dxa"/>
            </w:tcMar>
            <w:vAlign w:val="center"/>
          </w:tcPr>
          <w:p w14:paraId="7A2272F4">
            <w:pPr>
              <w:pStyle w:val="13"/>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lang w:val="en-US" w:eastAsia="zh-CN"/>
              </w:rPr>
              <w:t>混凝土标号 C30，内壁防水处理</w:t>
            </w:r>
          </w:p>
        </w:tc>
      </w:tr>
    </w:tbl>
    <w:p w14:paraId="4B2CE2FB">
      <w:pPr>
        <w:bidi w:val="0"/>
        <w:rPr>
          <w:rFonts w:hint="eastAsia" w:ascii="仿宋" w:hAnsi="仿宋" w:eastAsia="仿宋" w:cs="仿宋"/>
          <w:sz w:val="30"/>
          <w:szCs w:val="30"/>
        </w:rPr>
      </w:pPr>
      <w:r>
        <w:rPr>
          <w:rFonts w:hint="eastAsia" w:ascii="仿宋" w:hAnsi="仿宋" w:eastAsia="仿宋" w:cs="仿宋"/>
          <w:sz w:val="30"/>
          <w:szCs w:val="30"/>
          <w:lang w:val="en-US" w:eastAsia="zh-CN"/>
        </w:rPr>
        <w:t>5.3</w:t>
      </w:r>
      <w:r>
        <w:rPr>
          <w:rFonts w:hint="eastAsia" w:ascii="仿宋" w:hAnsi="仿宋" w:eastAsia="仿宋" w:cs="仿宋"/>
          <w:sz w:val="30"/>
          <w:szCs w:val="30"/>
        </w:rPr>
        <w:t>设备安装</w:t>
      </w:r>
    </w:p>
    <w:p w14:paraId="2F7D0C73">
      <w:pPr>
        <w:bidi w:val="0"/>
        <w:rPr>
          <w:rFonts w:hint="eastAsia" w:ascii="仿宋" w:hAnsi="仿宋" w:eastAsia="仿宋" w:cs="仿宋"/>
          <w:sz w:val="30"/>
          <w:szCs w:val="30"/>
        </w:rPr>
      </w:pPr>
      <w:r>
        <w:rPr>
          <w:rFonts w:hint="eastAsia" w:ascii="仿宋" w:hAnsi="仿宋" w:eastAsia="仿宋" w:cs="仿宋"/>
          <w:sz w:val="30"/>
          <w:szCs w:val="30"/>
        </w:rPr>
        <w:t>箱变安装：基础水平误差≤2mm/m，箱变与基础固定牢固，接地连接可靠，内部设备接线符合GB 50150试验标准。</w:t>
      </w:r>
    </w:p>
    <w:p w14:paraId="7D96823F">
      <w:pPr>
        <w:bidi w:val="0"/>
        <w:rPr>
          <w:rFonts w:hint="eastAsia" w:ascii="仿宋" w:hAnsi="仿宋" w:eastAsia="仿宋" w:cs="仿宋"/>
          <w:sz w:val="30"/>
          <w:szCs w:val="30"/>
        </w:rPr>
      </w:pPr>
      <w:r>
        <w:rPr>
          <w:rFonts w:hint="eastAsia" w:ascii="仿宋" w:hAnsi="仿宋" w:eastAsia="仿宋" w:cs="仿宋"/>
          <w:sz w:val="30"/>
          <w:szCs w:val="30"/>
        </w:rPr>
        <w:t>充电桩安装：立柱垂直度偏差≤1‰，充电枪接口中心高度 1.2-1.5m。</w:t>
      </w:r>
    </w:p>
    <w:p w14:paraId="3DA0704A">
      <w:pPr>
        <w:bidi w:val="0"/>
        <w:rPr>
          <w:rFonts w:hint="eastAsia" w:ascii="仿宋" w:hAnsi="仿宋" w:eastAsia="仿宋" w:cs="仿宋"/>
          <w:sz w:val="30"/>
          <w:szCs w:val="30"/>
        </w:rPr>
      </w:pPr>
      <w:r>
        <w:rPr>
          <w:rFonts w:hint="eastAsia" w:ascii="仿宋" w:hAnsi="仿宋" w:eastAsia="仿宋" w:cs="仿宋"/>
          <w:sz w:val="30"/>
          <w:szCs w:val="30"/>
        </w:rPr>
        <w:t>接地系统：</w:t>
      </w:r>
      <w:r>
        <w:rPr>
          <w:rFonts w:hint="eastAsia" w:ascii="仿宋" w:hAnsi="仿宋" w:eastAsia="仿宋" w:cs="仿宋"/>
          <w:sz w:val="30"/>
          <w:szCs w:val="30"/>
          <w:lang w:val="en-US" w:eastAsia="zh-CN"/>
        </w:rPr>
        <w:t>采用热浸锌材料，表面防腐处理，</w:t>
      </w:r>
      <w:r>
        <w:rPr>
          <w:rFonts w:hint="eastAsia" w:ascii="仿宋" w:hAnsi="仿宋" w:eastAsia="仿宋" w:cs="仿宋"/>
          <w:sz w:val="30"/>
          <w:szCs w:val="30"/>
        </w:rPr>
        <w:t>防雷接地、保护接地共用接地装置，接地电阻≤4Ω，符合 GB 50169 接地规范。</w:t>
      </w:r>
    </w:p>
    <w:p w14:paraId="0143FD12">
      <w:pPr>
        <w:bidi w:val="0"/>
        <w:rPr>
          <w:rFonts w:hint="eastAsia" w:ascii="仿宋" w:hAnsi="仿宋" w:eastAsia="仿宋" w:cs="仿宋"/>
          <w:sz w:val="30"/>
          <w:szCs w:val="30"/>
        </w:rPr>
      </w:pPr>
      <w:r>
        <w:rPr>
          <w:rFonts w:hint="eastAsia" w:ascii="仿宋" w:hAnsi="仿宋" w:eastAsia="仿宋" w:cs="仿宋"/>
          <w:sz w:val="30"/>
          <w:szCs w:val="30"/>
          <w:lang w:val="en-US" w:eastAsia="zh-CN"/>
        </w:rPr>
        <w:t>5.4</w:t>
      </w:r>
      <w:r>
        <w:rPr>
          <w:rFonts w:hint="eastAsia" w:ascii="仿宋" w:hAnsi="仿宋" w:eastAsia="仿宋" w:cs="仿宋"/>
          <w:sz w:val="30"/>
          <w:szCs w:val="30"/>
        </w:rPr>
        <w:t>调试与测试</w:t>
      </w:r>
    </w:p>
    <w:p w14:paraId="5A985049">
      <w:pPr>
        <w:bidi w:val="0"/>
        <w:rPr>
          <w:rFonts w:hint="eastAsia" w:ascii="仿宋" w:hAnsi="仿宋" w:eastAsia="仿宋" w:cs="仿宋"/>
          <w:sz w:val="30"/>
          <w:szCs w:val="30"/>
        </w:rPr>
      </w:pPr>
      <w:r>
        <w:rPr>
          <w:rFonts w:hint="eastAsia" w:ascii="仿宋" w:hAnsi="仿宋" w:eastAsia="仿宋" w:cs="仿宋"/>
          <w:sz w:val="30"/>
          <w:szCs w:val="30"/>
        </w:rPr>
        <w:t>单机调试：充电桩空载启动测试、充电流程模拟、保护功能校验（过压/欠压/过流保护）。</w:t>
      </w:r>
    </w:p>
    <w:p w14:paraId="3D64DE26">
      <w:pPr>
        <w:bidi w:val="0"/>
        <w:rPr>
          <w:rFonts w:hint="eastAsia" w:ascii="仿宋" w:hAnsi="仿宋" w:eastAsia="仿宋" w:cs="仿宋"/>
          <w:sz w:val="30"/>
          <w:szCs w:val="30"/>
        </w:rPr>
      </w:pPr>
      <w:r>
        <w:rPr>
          <w:rFonts w:hint="eastAsia" w:ascii="仿宋" w:hAnsi="仿宋" w:eastAsia="仿宋" w:cs="仿宋"/>
          <w:sz w:val="30"/>
          <w:szCs w:val="30"/>
        </w:rPr>
        <w:t>系统联调：箱变与充电桩通讯测试、云平台数据同步测试、消防联动测试（灭火装置与充电桩断电联动）。</w:t>
      </w:r>
    </w:p>
    <w:p w14:paraId="405CB983">
      <w:pPr>
        <w:bidi w:val="0"/>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质量保证与验收</w:t>
      </w:r>
    </w:p>
    <w:p w14:paraId="28745970">
      <w:pPr>
        <w:bidi w:val="0"/>
        <w:rPr>
          <w:rFonts w:hint="eastAsia" w:ascii="仿宋" w:hAnsi="仿宋" w:eastAsia="仿宋" w:cs="仿宋"/>
          <w:sz w:val="30"/>
          <w:szCs w:val="30"/>
        </w:rPr>
      </w:pPr>
      <w:r>
        <w:rPr>
          <w:rFonts w:hint="eastAsia" w:ascii="仿宋" w:hAnsi="仿宋" w:eastAsia="仿宋" w:cs="仿宋"/>
          <w:sz w:val="30"/>
          <w:szCs w:val="30"/>
          <w:lang w:val="en-US" w:eastAsia="zh-CN"/>
        </w:rPr>
        <w:t>6.1</w:t>
      </w:r>
      <w:r>
        <w:rPr>
          <w:rFonts w:hint="eastAsia" w:ascii="仿宋" w:hAnsi="仿宋" w:eastAsia="仿宋" w:cs="仿宋"/>
          <w:sz w:val="30"/>
          <w:szCs w:val="30"/>
        </w:rPr>
        <w:t>质量保证</w:t>
      </w:r>
    </w:p>
    <w:p w14:paraId="0E8A4D2F">
      <w:pPr>
        <w:bidi w:val="0"/>
        <w:rPr>
          <w:rFonts w:hint="eastAsia" w:ascii="仿宋" w:hAnsi="仿宋" w:eastAsia="仿宋" w:cs="仿宋"/>
          <w:sz w:val="30"/>
          <w:szCs w:val="30"/>
        </w:rPr>
      </w:pPr>
      <w:r>
        <w:rPr>
          <w:rFonts w:hint="eastAsia" w:ascii="仿宋" w:hAnsi="仿宋" w:eastAsia="仿宋" w:cs="仿宋"/>
          <w:sz w:val="30"/>
          <w:szCs w:val="30"/>
        </w:rPr>
        <w:t>质保期：设备验收合格后12个月，或货到现场18个月（以先到为准），质保期内免费维修更换故障部件。</w:t>
      </w:r>
    </w:p>
    <w:p w14:paraId="53E4118E">
      <w:pPr>
        <w:bidi w:val="0"/>
        <w:rPr>
          <w:rFonts w:hint="eastAsia" w:ascii="仿宋" w:hAnsi="仿宋" w:eastAsia="仿宋" w:cs="仿宋"/>
          <w:sz w:val="30"/>
          <w:szCs w:val="30"/>
        </w:rPr>
      </w:pPr>
      <w:r>
        <w:rPr>
          <w:rFonts w:hint="eastAsia" w:ascii="仿宋" w:hAnsi="仿宋" w:eastAsia="仿宋" w:cs="仿宋"/>
          <w:sz w:val="30"/>
          <w:szCs w:val="30"/>
        </w:rPr>
        <w:t>材料与工艺：设备材料需提供原厂合格证、检测报告，施工工艺符合 GB 50303 建筑电气工程施工质量验收规范。</w:t>
      </w:r>
    </w:p>
    <w:p w14:paraId="53796731">
      <w:pPr>
        <w:bidi w:val="0"/>
        <w:rPr>
          <w:rFonts w:hint="eastAsia" w:ascii="仿宋" w:hAnsi="仿宋" w:eastAsia="仿宋" w:cs="仿宋"/>
          <w:sz w:val="30"/>
          <w:szCs w:val="30"/>
        </w:rPr>
      </w:pPr>
      <w:r>
        <w:rPr>
          <w:rFonts w:hint="eastAsia" w:ascii="仿宋" w:hAnsi="仿宋" w:eastAsia="仿宋" w:cs="仿宋"/>
          <w:sz w:val="30"/>
          <w:szCs w:val="30"/>
        </w:rPr>
        <w:t>文档交付：移交设备手册、电路图、调试报告、竣工图等全套技术资料。</w:t>
      </w:r>
    </w:p>
    <w:p w14:paraId="70170352">
      <w:pPr>
        <w:bidi w:val="0"/>
        <w:rPr>
          <w:rFonts w:hint="eastAsia" w:ascii="仿宋" w:hAnsi="仿宋" w:eastAsia="仿宋" w:cs="仿宋"/>
          <w:sz w:val="30"/>
          <w:szCs w:val="30"/>
        </w:rPr>
      </w:pPr>
      <w:r>
        <w:rPr>
          <w:rFonts w:hint="eastAsia" w:ascii="仿宋" w:hAnsi="仿宋" w:eastAsia="仿宋" w:cs="仿宋"/>
          <w:sz w:val="30"/>
          <w:szCs w:val="30"/>
          <w:lang w:val="en-US" w:eastAsia="zh-CN"/>
        </w:rPr>
        <w:t>6.2</w:t>
      </w:r>
      <w:r>
        <w:rPr>
          <w:rFonts w:hint="eastAsia" w:ascii="仿宋" w:hAnsi="仿宋" w:eastAsia="仿宋" w:cs="仿宋"/>
          <w:sz w:val="30"/>
          <w:szCs w:val="30"/>
        </w:rPr>
        <w:t>验收标准</w:t>
      </w:r>
    </w:p>
    <w:p w14:paraId="617EC663">
      <w:pPr>
        <w:bidi w:val="0"/>
        <w:rPr>
          <w:rFonts w:hint="eastAsia" w:ascii="仿宋" w:hAnsi="仿宋" w:eastAsia="仿宋" w:cs="仿宋"/>
          <w:sz w:val="30"/>
          <w:szCs w:val="30"/>
        </w:rPr>
      </w:pPr>
      <w:r>
        <w:rPr>
          <w:rFonts w:hint="eastAsia" w:ascii="仿宋" w:hAnsi="仿宋" w:eastAsia="仿宋" w:cs="仿宋"/>
          <w:sz w:val="30"/>
          <w:szCs w:val="30"/>
        </w:rPr>
        <w:t>技术验收：设备型号、数量与投标文件一致，技术参数符合 GB/T 20234 充电接口标准，充电效率、通讯功能、安全保护性能达标。</w:t>
      </w:r>
    </w:p>
    <w:p w14:paraId="24269363">
      <w:pPr>
        <w:bidi w:val="0"/>
        <w:rPr>
          <w:rFonts w:hint="eastAsia" w:ascii="仿宋" w:hAnsi="仿宋" w:eastAsia="仿宋" w:cs="仿宋"/>
          <w:sz w:val="30"/>
          <w:szCs w:val="30"/>
        </w:rPr>
      </w:pPr>
      <w:r>
        <w:rPr>
          <w:rFonts w:hint="eastAsia" w:ascii="仿宋" w:hAnsi="仿宋" w:eastAsia="仿宋" w:cs="仿宋"/>
          <w:sz w:val="30"/>
          <w:szCs w:val="30"/>
        </w:rPr>
        <w:t>资料验收：施工记录、试验报告、资质文件齐全，符合档案管理要求。</w:t>
      </w:r>
    </w:p>
    <w:p w14:paraId="449DB2D8">
      <w:pPr>
        <w:bidi w:val="0"/>
        <w:rPr>
          <w:rFonts w:hint="eastAsia" w:ascii="仿宋" w:hAnsi="仿宋" w:eastAsia="仿宋" w:cs="仿宋"/>
          <w:sz w:val="30"/>
          <w:szCs w:val="30"/>
        </w:rPr>
      </w:pPr>
      <w:r>
        <w:rPr>
          <w:rFonts w:hint="eastAsia" w:ascii="仿宋" w:hAnsi="仿宋" w:eastAsia="仿宋" w:cs="仿宋"/>
          <w:sz w:val="30"/>
          <w:szCs w:val="30"/>
        </w:rPr>
        <w:t>现场验收：充电桩运行稳定，无异常噪音、过热现象，接地电阻、绝缘电阻测试合格，云平台数据实时同步。</w:t>
      </w:r>
    </w:p>
    <w:p w14:paraId="01AC008A">
      <w:pPr>
        <w:bidi w:val="0"/>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、包装、运输与存储</w:t>
      </w:r>
    </w:p>
    <w:p w14:paraId="48D0D8D1">
      <w:pPr>
        <w:bidi w:val="0"/>
        <w:rPr>
          <w:rFonts w:hint="eastAsia" w:ascii="仿宋" w:hAnsi="仿宋" w:eastAsia="仿宋" w:cs="仿宋"/>
          <w:sz w:val="30"/>
          <w:szCs w:val="30"/>
        </w:rPr>
      </w:pPr>
      <w:r>
        <w:rPr>
          <w:rFonts w:hint="eastAsia" w:ascii="仿宋" w:hAnsi="仿宋" w:eastAsia="仿宋" w:cs="仿宋"/>
          <w:sz w:val="30"/>
          <w:szCs w:val="30"/>
          <w:lang w:val="en-US" w:eastAsia="zh-CN"/>
        </w:rPr>
        <w:t>7.1</w:t>
      </w:r>
      <w:r>
        <w:rPr>
          <w:rFonts w:hint="eastAsia" w:ascii="仿宋" w:hAnsi="仿宋" w:eastAsia="仿宋" w:cs="仿宋"/>
          <w:sz w:val="30"/>
          <w:szCs w:val="30"/>
        </w:rPr>
        <w:t>包装要求</w:t>
      </w:r>
    </w:p>
    <w:p w14:paraId="1B309EC8">
      <w:pPr>
        <w:bidi w:val="0"/>
        <w:ind w:firstLine="600" w:firstLineChars="200"/>
        <w:rPr>
          <w:rFonts w:hint="eastAsia" w:ascii="仿宋" w:hAnsi="仿宋" w:eastAsia="仿宋" w:cs="仿宋"/>
          <w:sz w:val="30"/>
          <w:szCs w:val="30"/>
        </w:rPr>
      </w:pPr>
      <w:r>
        <w:rPr>
          <w:rFonts w:hint="eastAsia" w:ascii="仿宋" w:hAnsi="仿宋" w:eastAsia="仿宋" w:cs="仿宋"/>
          <w:sz w:val="30"/>
          <w:szCs w:val="30"/>
        </w:rPr>
        <w:t>设备采用木箱或钢结构包装，内部填充防震材料，防止运输振动损坏。包装箱外标注项目名称、设备型号、数量、运输警示标志（如“防潮”“易碎”）。</w:t>
      </w:r>
    </w:p>
    <w:p w14:paraId="15B317FA">
      <w:pPr>
        <w:bidi w:val="0"/>
        <w:rPr>
          <w:rFonts w:hint="eastAsia" w:ascii="仿宋" w:hAnsi="仿宋" w:eastAsia="仿宋" w:cs="仿宋"/>
          <w:sz w:val="30"/>
          <w:szCs w:val="30"/>
        </w:rPr>
      </w:pPr>
      <w:r>
        <w:rPr>
          <w:rFonts w:hint="eastAsia" w:ascii="仿宋" w:hAnsi="仿宋" w:eastAsia="仿宋" w:cs="仿宋"/>
          <w:sz w:val="30"/>
          <w:szCs w:val="30"/>
          <w:lang w:val="en-US" w:eastAsia="zh-CN"/>
        </w:rPr>
        <w:t>7.2</w:t>
      </w:r>
      <w:r>
        <w:rPr>
          <w:rFonts w:hint="eastAsia" w:ascii="仿宋" w:hAnsi="仿宋" w:eastAsia="仿宋" w:cs="仿宋"/>
          <w:sz w:val="30"/>
          <w:szCs w:val="30"/>
        </w:rPr>
        <w:t>运输与存储</w:t>
      </w:r>
    </w:p>
    <w:p w14:paraId="77817985">
      <w:pPr>
        <w:bidi w:val="0"/>
        <w:ind w:firstLine="600" w:firstLineChars="200"/>
        <w:rPr>
          <w:rFonts w:hint="eastAsia" w:ascii="仿宋" w:hAnsi="仿宋" w:eastAsia="仿宋" w:cs="仿宋"/>
          <w:sz w:val="30"/>
          <w:szCs w:val="30"/>
        </w:rPr>
      </w:pPr>
      <w:r>
        <w:rPr>
          <w:rFonts w:hint="eastAsia" w:ascii="仿宋" w:hAnsi="仿宋" w:eastAsia="仿宋" w:cs="仿宋"/>
          <w:sz w:val="30"/>
          <w:szCs w:val="30"/>
        </w:rPr>
        <w:t>运输过程中保持水平，避免剧烈颠簸，箱变运输需固定防滑，充电桩轻装轻卸。</w:t>
      </w:r>
    </w:p>
    <w:p w14:paraId="2ADC3CF4">
      <w:pPr>
        <w:bidi w:val="0"/>
        <w:ind w:firstLine="600" w:firstLineChars="200"/>
        <w:rPr>
          <w:rFonts w:hint="eastAsia" w:ascii="仿宋" w:hAnsi="仿宋" w:eastAsia="仿宋" w:cs="仿宋"/>
          <w:sz w:val="30"/>
          <w:szCs w:val="30"/>
        </w:rPr>
      </w:pPr>
      <w:r>
        <w:rPr>
          <w:rFonts w:hint="eastAsia" w:ascii="仿宋" w:hAnsi="仿宋" w:eastAsia="仿宋" w:cs="仿宋"/>
          <w:sz w:val="30"/>
          <w:szCs w:val="30"/>
        </w:rPr>
        <w:t>存储环境干燥通风，防潮防尘，温度 - 10-40℃，相对湿度≤85%，避免阳光直射。</w:t>
      </w:r>
    </w:p>
    <w:p w14:paraId="57699E49">
      <w:pPr>
        <w:bidi w:val="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、售后服务</w:t>
      </w:r>
    </w:p>
    <w:p w14:paraId="1D95DA7C">
      <w:pPr>
        <w:bidi w:val="0"/>
        <w:rPr>
          <w:rFonts w:hint="eastAsia" w:ascii="仿宋" w:hAnsi="仿宋" w:eastAsia="仿宋" w:cs="仿宋"/>
          <w:sz w:val="30"/>
          <w:szCs w:val="30"/>
        </w:rPr>
      </w:pPr>
      <w:r>
        <w:rPr>
          <w:rFonts w:hint="eastAsia" w:ascii="仿宋" w:hAnsi="仿宋" w:eastAsia="仿宋" w:cs="仿宋"/>
          <w:sz w:val="30"/>
          <w:szCs w:val="30"/>
          <w:lang w:val="en-US" w:eastAsia="zh-CN"/>
        </w:rPr>
        <w:t>8.1</w:t>
      </w:r>
      <w:r>
        <w:rPr>
          <w:rFonts w:hint="eastAsia" w:ascii="仿宋" w:hAnsi="仿宋" w:eastAsia="仿宋" w:cs="仿宋"/>
          <w:sz w:val="30"/>
          <w:szCs w:val="30"/>
        </w:rPr>
        <w:t>服务承诺</w:t>
      </w:r>
    </w:p>
    <w:p w14:paraId="20D5505F">
      <w:pPr>
        <w:bidi w:val="0"/>
        <w:rPr>
          <w:rFonts w:hint="eastAsia" w:ascii="仿宋" w:hAnsi="仿宋" w:eastAsia="仿宋" w:cs="仿宋"/>
          <w:sz w:val="30"/>
          <w:szCs w:val="30"/>
        </w:rPr>
      </w:pPr>
      <w:r>
        <w:rPr>
          <w:rFonts w:hint="eastAsia" w:ascii="仿宋" w:hAnsi="仿宋" w:eastAsia="仿宋" w:cs="仿宋"/>
          <w:sz w:val="30"/>
          <w:szCs w:val="30"/>
        </w:rPr>
        <w:t>响应时间：2小时内响应故障报修，24小时内到达现场，48小时内修复（特殊情况除外）。</w:t>
      </w:r>
    </w:p>
    <w:p w14:paraId="786FAA27">
      <w:pPr>
        <w:bidi w:val="0"/>
        <w:rPr>
          <w:rFonts w:hint="eastAsia" w:ascii="仿宋" w:hAnsi="仿宋" w:eastAsia="仿宋" w:cs="仿宋"/>
          <w:sz w:val="30"/>
          <w:szCs w:val="30"/>
        </w:rPr>
      </w:pPr>
      <w:r>
        <w:rPr>
          <w:rFonts w:hint="eastAsia" w:ascii="仿宋" w:hAnsi="仿宋" w:eastAsia="仿宋" w:cs="仿宋"/>
          <w:sz w:val="30"/>
          <w:szCs w:val="30"/>
        </w:rPr>
        <w:t>运维服务：提供3年运维服务，包含定期巡检（每月1次）、设备清洁、</w:t>
      </w:r>
      <w:r>
        <w:rPr>
          <w:rFonts w:hint="eastAsia" w:ascii="仿宋" w:hAnsi="仿宋" w:eastAsia="仿宋" w:cs="仿宋"/>
          <w:sz w:val="30"/>
          <w:szCs w:val="30"/>
          <w:lang w:val="en-US" w:eastAsia="zh-CN"/>
        </w:rPr>
        <w:t>备件更换、</w:t>
      </w:r>
      <w:r>
        <w:rPr>
          <w:rFonts w:hint="eastAsia" w:ascii="仿宋" w:hAnsi="仿宋" w:eastAsia="仿宋" w:cs="仿宋"/>
          <w:sz w:val="30"/>
          <w:szCs w:val="30"/>
        </w:rPr>
        <w:t>软件升级，建立运维档案。</w:t>
      </w:r>
    </w:p>
    <w:p w14:paraId="46A1FCA2">
      <w:pPr>
        <w:bidi w:val="0"/>
        <w:rPr>
          <w:rFonts w:hint="eastAsia" w:ascii="仿宋" w:hAnsi="仿宋" w:eastAsia="仿宋" w:cs="仿宋"/>
          <w:sz w:val="30"/>
          <w:szCs w:val="30"/>
        </w:rPr>
      </w:pPr>
      <w:r>
        <w:rPr>
          <w:rFonts w:hint="eastAsia" w:ascii="仿宋" w:hAnsi="仿宋" w:eastAsia="仿宋" w:cs="仿宋"/>
          <w:sz w:val="30"/>
          <w:szCs w:val="30"/>
        </w:rPr>
        <w:t>培训支持：提供现场操作培训，涵盖设备使用、故障排查、安全规程，培训时长不少于4小时。</w:t>
      </w:r>
    </w:p>
    <w:p w14:paraId="788E1F6F">
      <w:pPr>
        <w:bidi w:val="0"/>
        <w:rPr>
          <w:rFonts w:hint="eastAsia" w:ascii="仿宋" w:hAnsi="仿宋" w:eastAsia="仿宋" w:cs="仿宋"/>
          <w:sz w:val="30"/>
          <w:szCs w:val="30"/>
        </w:rPr>
      </w:pPr>
      <w:r>
        <w:rPr>
          <w:rFonts w:hint="eastAsia" w:ascii="仿宋" w:hAnsi="仿宋" w:eastAsia="仿宋" w:cs="仿宋"/>
          <w:sz w:val="30"/>
          <w:szCs w:val="30"/>
          <w:lang w:val="en-US" w:eastAsia="zh-CN"/>
        </w:rPr>
        <w:t>8.2</w:t>
      </w:r>
      <w:r>
        <w:rPr>
          <w:rFonts w:hint="eastAsia" w:ascii="仿宋" w:hAnsi="仿宋" w:eastAsia="仿宋" w:cs="仿宋"/>
          <w:sz w:val="30"/>
          <w:szCs w:val="30"/>
        </w:rPr>
        <w:t>备品备件</w:t>
      </w:r>
    </w:p>
    <w:p w14:paraId="7184023E">
      <w:pPr>
        <w:bidi w:val="0"/>
        <w:rPr>
          <w:rFonts w:hint="eastAsia" w:ascii="仿宋" w:hAnsi="仿宋" w:eastAsia="仿宋" w:cs="仿宋"/>
          <w:sz w:val="30"/>
          <w:szCs w:val="30"/>
        </w:rPr>
      </w:pPr>
      <w:r>
        <w:rPr>
          <w:rFonts w:hint="eastAsia" w:ascii="仿宋" w:hAnsi="仿宋" w:eastAsia="仿宋" w:cs="仿宋"/>
          <w:sz w:val="30"/>
          <w:szCs w:val="30"/>
        </w:rPr>
        <w:t>投标方需提供常用备件清单（如充电枪、漏电保护器、通讯模块），质保期内免费提供备件更换。</w:t>
      </w:r>
    </w:p>
    <w:p w14:paraId="4FF0774F">
      <w:pPr>
        <w:bidi w:val="0"/>
        <w:rPr>
          <w:rFonts w:hint="eastAsia" w:ascii="仿宋" w:hAnsi="仿宋" w:eastAsia="仿宋" w:cs="仿宋"/>
          <w:sz w:val="30"/>
          <w:szCs w:val="30"/>
        </w:rPr>
      </w:pPr>
      <w:r>
        <w:rPr>
          <w:rFonts w:hint="eastAsia" w:ascii="仿宋" w:hAnsi="仿宋" w:eastAsia="仿宋" w:cs="仿宋"/>
          <w:sz w:val="30"/>
          <w:szCs w:val="30"/>
        </w:rPr>
        <w:t>质保期外，备件按成本价供应，确保 48 小时内送达现场。</w:t>
      </w:r>
    </w:p>
    <w:p w14:paraId="76A6DDD7">
      <w:pPr>
        <w:bidi w:val="0"/>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、其他条款</w:t>
      </w:r>
    </w:p>
    <w:p w14:paraId="37279649">
      <w:pPr>
        <w:bidi w:val="0"/>
        <w:rPr>
          <w:rFonts w:hint="eastAsia" w:ascii="仿宋" w:hAnsi="仿宋" w:eastAsia="仿宋" w:cs="仿宋"/>
          <w:sz w:val="30"/>
          <w:szCs w:val="30"/>
        </w:rPr>
      </w:pPr>
      <w:r>
        <w:rPr>
          <w:rFonts w:hint="eastAsia" w:ascii="仿宋" w:hAnsi="仿宋" w:eastAsia="仿宋" w:cs="仿宋"/>
          <w:sz w:val="30"/>
          <w:szCs w:val="30"/>
          <w:lang w:val="en-US" w:eastAsia="zh-CN"/>
        </w:rPr>
        <w:t>9.1</w:t>
      </w:r>
      <w:r>
        <w:rPr>
          <w:rFonts w:hint="eastAsia" w:ascii="仿宋" w:hAnsi="仿宋" w:eastAsia="仿宋" w:cs="仿宋"/>
          <w:sz w:val="30"/>
          <w:szCs w:val="30"/>
        </w:rPr>
        <w:t>知识产权</w:t>
      </w:r>
    </w:p>
    <w:p w14:paraId="0D38A967">
      <w:pPr>
        <w:bidi w:val="0"/>
        <w:rPr>
          <w:rFonts w:hint="eastAsia" w:ascii="仿宋" w:hAnsi="仿宋" w:eastAsia="仿宋" w:cs="仿宋"/>
          <w:sz w:val="30"/>
          <w:szCs w:val="30"/>
        </w:rPr>
      </w:pPr>
      <w:r>
        <w:rPr>
          <w:rFonts w:hint="eastAsia" w:ascii="仿宋" w:hAnsi="仿宋" w:eastAsia="仿宋" w:cs="仿宋"/>
          <w:sz w:val="30"/>
          <w:szCs w:val="30"/>
          <w:lang w:val="en-US" w:eastAsia="zh-CN"/>
        </w:rPr>
        <w:t>投标方保证设备无知识产权纠纷，若因专利、商标等问题引发争议，承担全部法律责任及赔偿。</w:t>
      </w:r>
    </w:p>
    <w:p w14:paraId="2C88D939">
      <w:pPr>
        <w:bidi w:val="0"/>
        <w:rPr>
          <w:rFonts w:hint="eastAsia" w:ascii="仿宋" w:hAnsi="仿宋" w:eastAsia="仿宋" w:cs="仿宋"/>
          <w:sz w:val="30"/>
          <w:szCs w:val="30"/>
        </w:rPr>
      </w:pPr>
      <w:r>
        <w:rPr>
          <w:rFonts w:hint="eastAsia" w:ascii="仿宋" w:hAnsi="仿宋" w:eastAsia="仿宋" w:cs="仿宋"/>
          <w:sz w:val="30"/>
          <w:szCs w:val="30"/>
          <w:lang w:val="en-US" w:eastAsia="zh-CN"/>
        </w:rPr>
        <w:t>9.2</w:t>
      </w:r>
      <w:r>
        <w:rPr>
          <w:rFonts w:hint="eastAsia" w:ascii="仿宋" w:hAnsi="仿宋" w:eastAsia="仿宋" w:cs="仿宋"/>
          <w:sz w:val="30"/>
          <w:szCs w:val="30"/>
        </w:rPr>
        <w:t>安全与环保</w:t>
      </w:r>
    </w:p>
    <w:p w14:paraId="7C6239DD">
      <w:pPr>
        <w:bidi w:val="0"/>
        <w:rPr>
          <w:rFonts w:hint="eastAsia" w:ascii="仿宋" w:hAnsi="仿宋" w:eastAsia="仿宋" w:cs="仿宋"/>
          <w:sz w:val="30"/>
          <w:szCs w:val="30"/>
        </w:rPr>
      </w:pPr>
      <w:r>
        <w:rPr>
          <w:rFonts w:hint="eastAsia" w:ascii="仿宋" w:hAnsi="仿宋" w:eastAsia="仿宋" w:cs="仿宋"/>
          <w:sz w:val="30"/>
          <w:szCs w:val="30"/>
          <w:lang w:val="en-US" w:eastAsia="zh-CN"/>
        </w:rPr>
        <w:t>施工过程遵守《电力建设安全工作规程》，采取防尘、降噪措施，废弃材料按环保要求处理，避免污染环境。</w:t>
      </w:r>
    </w:p>
    <w:p w14:paraId="70C478E2">
      <w:pPr>
        <w:bidi w:val="0"/>
        <w:rPr>
          <w:rFonts w:hint="eastAsia" w:ascii="仿宋" w:hAnsi="仿宋" w:eastAsia="仿宋" w:cs="仿宋"/>
          <w:sz w:val="30"/>
          <w:szCs w:val="30"/>
        </w:rPr>
      </w:pPr>
      <w:r>
        <w:rPr>
          <w:rFonts w:hint="eastAsia" w:ascii="仿宋" w:hAnsi="仿宋" w:eastAsia="仿宋" w:cs="仿宋"/>
          <w:sz w:val="30"/>
          <w:szCs w:val="30"/>
          <w:lang w:val="en-US" w:eastAsia="zh-CN"/>
        </w:rPr>
        <w:t>9.3</w:t>
      </w:r>
      <w:r>
        <w:rPr>
          <w:rFonts w:hint="eastAsia" w:ascii="仿宋" w:hAnsi="仿宋" w:eastAsia="仿宋" w:cs="仿宋"/>
          <w:sz w:val="30"/>
          <w:szCs w:val="30"/>
        </w:rPr>
        <w:t>项目工期</w:t>
      </w:r>
    </w:p>
    <w:p w14:paraId="5C88DE69">
      <w:pPr>
        <w:bidi w:val="0"/>
        <w:rPr>
          <w:rFonts w:hint="eastAsia" w:ascii="仿宋" w:hAnsi="仿宋" w:eastAsia="仿宋" w:cs="仿宋"/>
          <w:sz w:val="30"/>
          <w:szCs w:val="30"/>
        </w:rPr>
      </w:pPr>
      <w:bookmarkStart w:id="8" w:name="_GoBack"/>
      <w:r>
        <w:rPr>
          <w:rFonts w:hint="eastAsia" w:ascii="仿宋" w:hAnsi="仿宋" w:eastAsia="仿宋" w:cs="仿宋"/>
          <w:sz w:val="30"/>
          <w:szCs w:val="30"/>
          <w:lang w:val="en-US" w:eastAsia="zh-CN"/>
        </w:rPr>
        <w:t>合同签订后，甲方根据施工设计图完成土建部分后 30 日内完成设备安装调试，具备送电条件，如遇不可抗力或甲方原因，工期顺延。</w:t>
      </w:r>
    </w:p>
    <w:bookmarkEnd w:id="8"/>
    <w:p w14:paraId="63EAAA51">
      <w:pPr>
        <w:bidi w:val="0"/>
        <w:ind w:firstLine="562" w:firstLineChars="200"/>
        <w:rPr>
          <w:rFonts w:hint="eastAsia" w:ascii="宋体" w:hAnsi="宋体" w:cs="宋体"/>
          <w:b/>
          <w:bCs/>
          <w:snapToGrid w:val="0"/>
          <w:color w:val="000000"/>
          <w:sz w:val="28"/>
          <w:szCs w:val="28"/>
          <w:lang w:val="en-US" w:eastAsia="zh-CN"/>
        </w:rPr>
      </w:pPr>
    </w:p>
    <w:p w14:paraId="3529FC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lowerLetter"/>
      <w:lvlText w:val="%1)"/>
      <w:lvlJc w:val="left"/>
      <w:pPr>
        <w:tabs>
          <w:tab w:val="left" w:pos="315"/>
        </w:tabs>
        <w:ind w:left="712" w:firstLine="23"/>
      </w:pPr>
      <w:rPr>
        <w:rFonts w:hint="default"/>
      </w:rPr>
    </w:lvl>
    <w:lvl w:ilvl="1" w:tentative="0">
      <w:start w:val="1"/>
      <w:numFmt w:val="lowerLetter"/>
      <w:lvlText w:val="%2)"/>
      <w:lvlJc w:val="left"/>
      <w:pPr>
        <w:tabs>
          <w:tab w:val="left" w:pos="1575"/>
        </w:tabs>
        <w:ind w:left="1575" w:hanging="420"/>
      </w:pPr>
    </w:lvl>
    <w:lvl w:ilvl="2" w:tentative="0">
      <w:start w:val="1"/>
      <w:numFmt w:val="lowerRoman"/>
      <w:lvlText w:val="%3."/>
      <w:lvlJc w:val="right"/>
      <w:pPr>
        <w:tabs>
          <w:tab w:val="left" w:pos="1995"/>
        </w:tabs>
        <w:ind w:left="1995" w:hanging="420"/>
      </w:pPr>
    </w:lvl>
    <w:lvl w:ilvl="3" w:tentative="0">
      <w:start w:val="1"/>
      <w:numFmt w:val="decimal"/>
      <w:lvlText w:val="%4."/>
      <w:lvlJc w:val="left"/>
      <w:pPr>
        <w:tabs>
          <w:tab w:val="left" w:pos="2415"/>
        </w:tabs>
        <w:ind w:left="2415" w:hanging="420"/>
      </w:pPr>
    </w:lvl>
    <w:lvl w:ilvl="4" w:tentative="0">
      <w:start w:val="1"/>
      <w:numFmt w:val="lowerLetter"/>
      <w:lvlText w:val="%5)"/>
      <w:lvlJc w:val="left"/>
      <w:pPr>
        <w:tabs>
          <w:tab w:val="left" w:pos="2835"/>
        </w:tabs>
        <w:ind w:left="2835" w:hanging="420"/>
      </w:pPr>
    </w:lvl>
    <w:lvl w:ilvl="5" w:tentative="0">
      <w:start w:val="1"/>
      <w:numFmt w:val="lowerRoman"/>
      <w:lvlText w:val="%6."/>
      <w:lvlJc w:val="right"/>
      <w:pPr>
        <w:tabs>
          <w:tab w:val="left" w:pos="3255"/>
        </w:tabs>
        <w:ind w:left="3255" w:hanging="420"/>
      </w:pPr>
    </w:lvl>
    <w:lvl w:ilvl="6" w:tentative="0">
      <w:start w:val="1"/>
      <w:numFmt w:val="decimal"/>
      <w:lvlText w:val="%7."/>
      <w:lvlJc w:val="left"/>
      <w:pPr>
        <w:tabs>
          <w:tab w:val="left" w:pos="3675"/>
        </w:tabs>
        <w:ind w:left="3675" w:hanging="420"/>
      </w:pPr>
    </w:lvl>
    <w:lvl w:ilvl="7" w:tentative="0">
      <w:start w:val="1"/>
      <w:numFmt w:val="lowerLetter"/>
      <w:lvlText w:val="%8)"/>
      <w:lvlJc w:val="left"/>
      <w:pPr>
        <w:tabs>
          <w:tab w:val="left" w:pos="4095"/>
        </w:tabs>
        <w:ind w:left="4095" w:hanging="420"/>
      </w:pPr>
    </w:lvl>
    <w:lvl w:ilvl="8" w:tentative="0">
      <w:start w:val="1"/>
      <w:numFmt w:val="lowerRoman"/>
      <w:lvlText w:val="%9."/>
      <w:lvlJc w:val="right"/>
      <w:pPr>
        <w:tabs>
          <w:tab w:val="left" w:pos="4515"/>
        </w:tabs>
        <w:ind w:left="4515" w:hanging="420"/>
      </w:pPr>
    </w:lvl>
  </w:abstractNum>
  <w:abstractNum w:abstractNumId="1">
    <w:nsid w:val="006251B2"/>
    <w:multiLevelType w:val="singleLevel"/>
    <w:tmpl w:val="006251B2"/>
    <w:lvl w:ilvl="0" w:tentative="0">
      <w:start w:val="5"/>
      <w:numFmt w:val="decimal"/>
      <w:pStyle w:val="12"/>
      <w:lvlText w:val="%1."/>
      <w:lvlJc w:val="left"/>
      <w:pPr>
        <w:tabs>
          <w:tab w:val="left" w:pos="737"/>
        </w:tabs>
        <w:ind w:left="737" w:hanging="567"/>
      </w:pPr>
      <w:rPr>
        <w:rFonts w:hint="eastAsia" w:ascii="宋体" w:eastAsia="宋体"/>
        <w:b/>
        <w:i w:val="0"/>
        <w:sz w:val="24"/>
      </w:rPr>
    </w:lvl>
  </w:abstractNum>
  <w:abstractNum w:abstractNumId="2">
    <w:nsid w:val="04137BD0"/>
    <w:multiLevelType w:val="multilevel"/>
    <w:tmpl w:val="04137BD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85A1F20"/>
    <w:multiLevelType w:val="multilevel"/>
    <w:tmpl w:val="085A1F2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1952E89"/>
    <w:multiLevelType w:val="multilevel"/>
    <w:tmpl w:val="11952E8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1F93D38"/>
    <w:multiLevelType w:val="multilevel"/>
    <w:tmpl w:val="11F93D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458319F"/>
    <w:multiLevelType w:val="multilevel"/>
    <w:tmpl w:val="1458319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85967"/>
    <w:multiLevelType w:val="multilevel"/>
    <w:tmpl w:val="1608596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CCF7306"/>
    <w:multiLevelType w:val="multilevel"/>
    <w:tmpl w:val="1CCF7306"/>
    <w:lvl w:ilvl="0" w:tentative="0">
      <w:start w:val="1"/>
      <w:numFmt w:val="bullet"/>
      <w:lvlText w:val=""/>
      <w:lvlJc w:val="left"/>
      <w:pPr>
        <w:tabs>
          <w:tab w:val="left" w:pos="1216"/>
        </w:tabs>
        <w:ind w:left="1216" w:hanging="420"/>
      </w:pPr>
      <w:rPr>
        <w:rFonts w:hint="default" w:ascii="Wingdings" w:hAnsi="Wingdings"/>
      </w:rPr>
    </w:lvl>
    <w:lvl w:ilvl="1" w:tentative="0">
      <w:start w:val="1"/>
      <w:numFmt w:val="bullet"/>
      <w:lvlText w:val=""/>
      <w:lvlJc w:val="left"/>
      <w:pPr>
        <w:tabs>
          <w:tab w:val="left" w:pos="1636"/>
        </w:tabs>
        <w:ind w:left="1636" w:hanging="420"/>
      </w:pPr>
      <w:rPr>
        <w:rFonts w:hint="default" w:ascii="Wingdings" w:hAnsi="Wingdings"/>
      </w:rPr>
    </w:lvl>
    <w:lvl w:ilvl="2" w:tentative="0">
      <w:start w:val="1"/>
      <w:numFmt w:val="bullet"/>
      <w:lvlText w:val=""/>
      <w:lvlJc w:val="left"/>
      <w:pPr>
        <w:tabs>
          <w:tab w:val="left" w:pos="2056"/>
        </w:tabs>
        <w:ind w:left="2056" w:hanging="420"/>
      </w:pPr>
      <w:rPr>
        <w:rFonts w:hint="default" w:ascii="Wingdings" w:hAnsi="Wingdings"/>
      </w:rPr>
    </w:lvl>
    <w:lvl w:ilvl="3" w:tentative="0">
      <w:start w:val="1"/>
      <w:numFmt w:val="bullet"/>
      <w:lvlText w:val=""/>
      <w:lvlJc w:val="left"/>
      <w:pPr>
        <w:tabs>
          <w:tab w:val="left" w:pos="2476"/>
        </w:tabs>
        <w:ind w:left="2476" w:hanging="420"/>
      </w:pPr>
      <w:rPr>
        <w:rFonts w:hint="default" w:ascii="Wingdings" w:hAnsi="Wingdings"/>
      </w:rPr>
    </w:lvl>
    <w:lvl w:ilvl="4" w:tentative="0">
      <w:start w:val="1"/>
      <w:numFmt w:val="bullet"/>
      <w:lvlText w:val=""/>
      <w:lvlJc w:val="left"/>
      <w:pPr>
        <w:tabs>
          <w:tab w:val="left" w:pos="2896"/>
        </w:tabs>
        <w:ind w:left="2896" w:hanging="420"/>
      </w:pPr>
      <w:rPr>
        <w:rFonts w:hint="default" w:ascii="Wingdings" w:hAnsi="Wingdings"/>
      </w:rPr>
    </w:lvl>
    <w:lvl w:ilvl="5" w:tentative="0">
      <w:start w:val="1"/>
      <w:numFmt w:val="bullet"/>
      <w:lvlText w:val=""/>
      <w:lvlJc w:val="left"/>
      <w:pPr>
        <w:tabs>
          <w:tab w:val="left" w:pos="3316"/>
        </w:tabs>
        <w:ind w:left="3316" w:hanging="420"/>
      </w:pPr>
      <w:rPr>
        <w:rFonts w:hint="default" w:ascii="Wingdings" w:hAnsi="Wingdings"/>
      </w:rPr>
    </w:lvl>
    <w:lvl w:ilvl="6" w:tentative="0">
      <w:start w:val="1"/>
      <w:numFmt w:val="bullet"/>
      <w:lvlText w:val=""/>
      <w:lvlJc w:val="left"/>
      <w:pPr>
        <w:tabs>
          <w:tab w:val="left" w:pos="3736"/>
        </w:tabs>
        <w:ind w:left="3736" w:hanging="420"/>
      </w:pPr>
      <w:rPr>
        <w:rFonts w:hint="default" w:ascii="Wingdings" w:hAnsi="Wingdings"/>
      </w:rPr>
    </w:lvl>
    <w:lvl w:ilvl="7" w:tentative="0">
      <w:start w:val="1"/>
      <w:numFmt w:val="bullet"/>
      <w:lvlText w:val=""/>
      <w:lvlJc w:val="left"/>
      <w:pPr>
        <w:tabs>
          <w:tab w:val="left" w:pos="4156"/>
        </w:tabs>
        <w:ind w:left="4156" w:hanging="420"/>
      </w:pPr>
      <w:rPr>
        <w:rFonts w:hint="default" w:ascii="Wingdings" w:hAnsi="Wingdings"/>
      </w:rPr>
    </w:lvl>
    <w:lvl w:ilvl="8" w:tentative="0">
      <w:start w:val="1"/>
      <w:numFmt w:val="bullet"/>
      <w:lvlText w:val=""/>
      <w:lvlJc w:val="left"/>
      <w:pPr>
        <w:tabs>
          <w:tab w:val="left" w:pos="4576"/>
        </w:tabs>
        <w:ind w:left="4576" w:hanging="420"/>
      </w:pPr>
      <w:rPr>
        <w:rFonts w:hint="default" w:ascii="Wingdings" w:hAnsi="Wingdings"/>
      </w:rPr>
    </w:lvl>
  </w:abstractNum>
  <w:abstractNum w:abstractNumId="9">
    <w:nsid w:val="20157B76"/>
    <w:multiLevelType w:val="multilevel"/>
    <w:tmpl w:val="20157B7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207E3B1F"/>
    <w:multiLevelType w:val="multilevel"/>
    <w:tmpl w:val="207E3B1F"/>
    <w:lvl w:ilvl="0" w:tentative="0">
      <w:start w:val="1"/>
      <w:numFmt w:val="bullet"/>
      <w:lvlText w:val=""/>
      <w:lvlJc w:val="left"/>
      <w:pPr>
        <w:tabs>
          <w:tab w:val="left" w:pos="1216"/>
        </w:tabs>
        <w:ind w:left="1216" w:hanging="420"/>
      </w:pPr>
      <w:rPr>
        <w:rFonts w:hint="default" w:ascii="Wingdings" w:hAnsi="Wingdings"/>
      </w:rPr>
    </w:lvl>
    <w:lvl w:ilvl="1" w:tentative="0">
      <w:start w:val="1"/>
      <w:numFmt w:val="bullet"/>
      <w:lvlText w:val=""/>
      <w:lvlJc w:val="left"/>
      <w:pPr>
        <w:tabs>
          <w:tab w:val="left" w:pos="1636"/>
        </w:tabs>
        <w:ind w:left="1636" w:hanging="420"/>
      </w:pPr>
      <w:rPr>
        <w:rFonts w:hint="default" w:ascii="Wingdings" w:hAnsi="Wingdings"/>
      </w:rPr>
    </w:lvl>
    <w:lvl w:ilvl="2" w:tentative="0">
      <w:start w:val="1"/>
      <w:numFmt w:val="bullet"/>
      <w:lvlText w:val=""/>
      <w:lvlJc w:val="left"/>
      <w:pPr>
        <w:tabs>
          <w:tab w:val="left" w:pos="2056"/>
        </w:tabs>
        <w:ind w:left="2056" w:hanging="420"/>
      </w:pPr>
      <w:rPr>
        <w:rFonts w:hint="default" w:ascii="Wingdings" w:hAnsi="Wingdings"/>
      </w:rPr>
    </w:lvl>
    <w:lvl w:ilvl="3" w:tentative="0">
      <w:start w:val="1"/>
      <w:numFmt w:val="bullet"/>
      <w:lvlText w:val=""/>
      <w:lvlJc w:val="left"/>
      <w:pPr>
        <w:tabs>
          <w:tab w:val="left" w:pos="2476"/>
        </w:tabs>
        <w:ind w:left="2476" w:hanging="420"/>
      </w:pPr>
      <w:rPr>
        <w:rFonts w:hint="default" w:ascii="Wingdings" w:hAnsi="Wingdings"/>
      </w:rPr>
    </w:lvl>
    <w:lvl w:ilvl="4" w:tentative="0">
      <w:start w:val="1"/>
      <w:numFmt w:val="bullet"/>
      <w:lvlText w:val=""/>
      <w:lvlJc w:val="left"/>
      <w:pPr>
        <w:tabs>
          <w:tab w:val="left" w:pos="2896"/>
        </w:tabs>
        <w:ind w:left="2896" w:hanging="420"/>
      </w:pPr>
      <w:rPr>
        <w:rFonts w:hint="default" w:ascii="Wingdings" w:hAnsi="Wingdings"/>
      </w:rPr>
    </w:lvl>
    <w:lvl w:ilvl="5" w:tentative="0">
      <w:start w:val="1"/>
      <w:numFmt w:val="bullet"/>
      <w:lvlText w:val=""/>
      <w:lvlJc w:val="left"/>
      <w:pPr>
        <w:tabs>
          <w:tab w:val="left" w:pos="3316"/>
        </w:tabs>
        <w:ind w:left="3316" w:hanging="420"/>
      </w:pPr>
      <w:rPr>
        <w:rFonts w:hint="default" w:ascii="Wingdings" w:hAnsi="Wingdings"/>
      </w:rPr>
    </w:lvl>
    <w:lvl w:ilvl="6" w:tentative="0">
      <w:start w:val="1"/>
      <w:numFmt w:val="bullet"/>
      <w:lvlText w:val=""/>
      <w:lvlJc w:val="left"/>
      <w:pPr>
        <w:tabs>
          <w:tab w:val="left" w:pos="3736"/>
        </w:tabs>
        <w:ind w:left="3736" w:hanging="420"/>
      </w:pPr>
      <w:rPr>
        <w:rFonts w:hint="default" w:ascii="Wingdings" w:hAnsi="Wingdings"/>
      </w:rPr>
    </w:lvl>
    <w:lvl w:ilvl="7" w:tentative="0">
      <w:start w:val="1"/>
      <w:numFmt w:val="bullet"/>
      <w:lvlText w:val=""/>
      <w:lvlJc w:val="left"/>
      <w:pPr>
        <w:tabs>
          <w:tab w:val="left" w:pos="4156"/>
        </w:tabs>
        <w:ind w:left="4156" w:hanging="420"/>
      </w:pPr>
      <w:rPr>
        <w:rFonts w:hint="default" w:ascii="Wingdings" w:hAnsi="Wingdings"/>
      </w:rPr>
    </w:lvl>
    <w:lvl w:ilvl="8" w:tentative="0">
      <w:start w:val="1"/>
      <w:numFmt w:val="bullet"/>
      <w:lvlText w:val=""/>
      <w:lvlJc w:val="left"/>
      <w:pPr>
        <w:tabs>
          <w:tab w:val="left" w:pos="4576"/>
        </w:tabs>
        <w:ind w:left="4576" w:hanging="420"/>
      </w:pPr>
      <w:rPr>
        <w:rFonts w:hint="default" w:ascii="Wingdings" w:hAnsi="Wingdings"/>
      </w:rPr>
    </w:lvl>
  </w:abstractNum>
  <w:abstractNum w:abstractNumId="11">
    <w:nsid w:val="23900E57"/>
    <w:multiLevelType w:val="multilevel"/>
    <w:tmpl w:val="23900E5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2AFF437F"/>
    <w:multiLevelType w:val="multilevel"/>
    <w:tmpl w:val="2AFF437F"/>
    <w:lvl w:ilvl="0" w:tentative="0">
      <w:start w:val="1"/>
      <w:numFmt w:val="bullet"/>
      <w:lvlText w:val=""/>
      <w:lvlJc w:val="left"/>
      <w:pPr>
        <w:tabs>
          <w:tab w:val="left" w:pos="600"/>
        </w:tabs>
        <w:ind w:left="600" w:hanging="420"/>
      </w:pPr>
      <w:rPr>
        <w:rFonts w:hint="default" w:ascii="Wingdings" w:hAnsi="Wingdings"/>
      </w:rPr>
    </w:lvl>
    <w:lvl w:ilvl="1" w:tentative="0">
      <w:start w:val="1"/>
      <w:numFmt w:val="bullet"/>
      <w:lvlText w:val=""/>
      <w:lvlJc w:val="left"/>
      <w:pPr>
        <w:tabs>
          <w:tab w:val="left" w:pos="1020"/>
        </w:tabs>
        <w:ind w:left="1020" w:hanging="420"/>
      </w:pPr>
      <w:rPr>
        <w:rFonts w:hint="default" w:ascii="Wingdings" w:hAnsi="Wingdings"/>
      </w:rPr>
    </w:lvl>
    <w:lvl w:ilvl="2" w:tentative="0">
      <w:start w:val="1"/>
      <w:numFmt w:val="bullet"/>
      <w:lvlText w:val=""/>
      <w:lvlJc w:val="left"/>
      <w:pPr>
        <w:tabs>
          <w:tab w:val="left" w:pos="1440"/>
        </w:tabs>
        <w:ind w:left="1440" w:hanging="420"/>
      </w:pPr>
      <w:rPr>
        <w:rFonts w:hint="default" w:ascii="Wingdings" w:hAnsi="Wingdings"/>
      </w:rPr>
    </w:lvl>
    <w:lvl w:ilvl="3" w:tentative="0">
      <w:start w:val="1"/>
      <w:numFmt w:val="bullet"/>
      <w:lvlText w:val=""/>
      <w:lvlJc w:val="left"/>
      <w:pPr>
        <w:tabs>
          <w:tab w:val="left" w:pos="1860"/>
        </w:tabs>
        <w:ind w:left="1860" w:hanging="420"/>
      </w:pPr>
      <w:rPr>
        <w:rFonts w:hint="default" w:ascii="Wingdings" w:hAnsi="Wingdings"/>
      </w:rPr>
    </w:lvl>
    <w:lvl w:ilvl="4" w:tentative="0">
      <w:start w:val="1"/>
      <w:numFmt w:val="bullet"/>
      <w:lvlText w:val=""/>
      <w:lvlJc w:val="left"/>
      <w:pPr>
        <w:tabs>
          <w:tab w:val="left" w:pos="2280"/>
        </w:tabs>
        <w:ind w:left="2280" w:hanging="420"/>
      </w:pPr>
      <w:rPr>
        <w:rFonts w:hint="default" w:ascii="Wingdings" w:hAnsi="Wingdings"/>
      </w:rPr>
    </w:lvl>
    <w:lvl w:ilvl="5" w:tentative="0">
      <w:start w:val="1"/>
      <w:numFmt w:val="bullet"/>
      <w:lvlText w:val=""/>
      <w:lvlJc w:val="left"/>
      <w:pPr>
        <w:tabs>
          <w:tab w:val="left" w:pos="2700"/>
        </w:tabs>
        <w:ind w:left="2700" w:hanging="420"/>
      </w:pPr>
      <w:rPr>
        <w:rFonts w:hint="default" w:ascii="Wingdings" w:hAnsi="Wingdings"/>
      </w:rPr>
    </w:lvl>
    <w:lvl w:ilvl="6" w:tentative="0">
      <w:start w:val="1"/>
      <w:numFmt w:val="bullet"/>
      <w:lvlText w:val=""/>
      <w:lvlJc w:val="left"/>
      <w:pPr>
        <w:tabs>
          <w:tab w:val="left" w:pos="3120"/>
        </w:tabs>
        <w:ind w:left="3120" w:hanging="420"/>
      </w:pPr>
      <w:rPr>
        <w:rFonts w:hint="default" w:ascii="Wingdings" w:hAnsi="Wingdings"/>
      </w:rPr>
    </w:lvl>
    <w:lvl w:ilvl="7" w:tentative="0">
      <w:start w:val="1"/>
      <w:numFmt w:val="bullet"/>
      <w:lvlText w:val=""/>
      <w:lvlJc w:val="left"/>
      <w:pPr>
        <w:tabs>
          <w:tab w:val="left" w:pos="3540"/>
        </w:tabs>
        <w:ind w:left="3540" w:hanging="420"/>
      </w:pPr>
      <w:rPr>
        <w:rFonts w:hint="default" w:ascii="Wingdings" w:hAnsi="Wingdings"/>
      </w:rPr>
    </w:lvl>
    <w:lvl w:ilvl="8" w:tentative="0">
      <w:start w:val="1"/>
      <w:numFmt w:val="bullet"/>
      <w:lvlText w:val=""/>
      <w:lvlJc w:val="left"/>
      <w:pPr>
        <w:tabs>
          <w:tab w:val="left" w:pos="3960"/>
        </w:tabs>
        <w:ind w:left="3960" w:hanging="420"/>
      </w:pPr>
      <w:rPr>
        <w:rFonts w:hint="default" w:ascii="Wingdings" w:hAnsi="Wingdings"/>
      </w:rPr>
    </w:lvl>
  </w:abstractNum>
  <w:abstractNum w:abstractNumId="13">
    <w:nsid w:val="304032C0"/>
    <w:multiLevelType w:val="multilevel"/>
    <w:tmpl w:val="304032C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365F2AE6"/>
    <w:multiLevelType w:val="multilevel"/>
    <w:tmpl w:val="365F2AE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373B12FB"/>
    <w:multiLevelType w:val="multilevel"/>
    <w:tmpl w:val="373B12F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3DB467BE"/>
    <w:multiLevelType w:val="multilevel"/>
    <w:tmpl w:val="3DB467B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45E808D0"/>
    <w:multiLevelType w:val="multilevel"/>
    <w:tmpl w:val="45E808D0"/>
    <w:lvl w:ilvl="0" w:tentative="0">
      <w:start w:val="1"/>
      <w:numFmt w:val="chineseCountingThousand"/>
      <w:suff w:val="space"/>
      <w:lvlText w:val="%1"/>
      <w:lvlJc w:val="left"/>
      <w:pPr>
        <w:ind w:left="0" w:firstLine="0"/>
      </w:pPr>
      <w:rPr>
        <w:rFonts w:hint="eastAsia"/>
      </w:rPr>
    </w:lvl>
    <w:lvl w:ilvl="1" w:tentative="0">
      <w:start w:val="1"/>
      <w:numFmt w:val="decimal"/>
      <w:suff w:val="space"/>
      <w:lvlText w:val="%2"/>
      <w:lvlJc w:val="left"/>
      <w:pPr>
        <w:ind w:left="0" w:firstLine="0"/>
      </w:pPr>
      <w:rPr>
        <w:rFonts w:hint="eastAsia"/>
      </w:rPr>
    </w:lvl>
    <w:lvl w:ilvl="2" w:tentative="0">
      <w:start w:val="1"/>
      <w:numFmt w:val="decimal"/>
      <w:pStyle w:val="2"/>
      <w:suff w:val="space"/>
      <w:lvlText w:val="%2.%3"/>
      <w:lvlJc w:val="left"/>
      <w:pPr>
        <w:ind w:left="0" w:firstLine="0"/>
      </w:pPr>
      <w:rPr>
        <w:rFonts w:hint="eastAsia"/>
      </w:rPr>
    </w:lvl>
    <w:lvl w:ilvl="3" w:tentative="0">
      <w:start w:val="1"/>
      <w:numFmt w:val="decimal"/>
      <w:suff w:val="space"/>
      <w:lvlText w:val="%2.%3.%4"/>
      <w:lvlJc w:val="left"/>
      <w:pPr>
        <w:ind w:left="0" w:firstLine="0"/>
      </w:pPr>
      <w:rPr>
        <w:rFonts w:hint="eastAsia"/>
      </w:rPr>
    </w:lvl>
    <w:lvl w:ilvl="4" w:tentative="0">
      <w:start w:val="1"/>
      <w:numFmt w:val="decimal"/>
      <w:suff w:val="space"/>
      <w:lvlText w:val="%2.%3.%4.%5"/>
      <w:lvlJc w:val="left"/>
      <w:pPr>
        <w:ind w:left="0" w:firstLine="0"/>
      </w:pPr>
      <w:rPr>
        <w:rFonts w:hint="eastAsia"/>
      </w:rPr>
    </w:lvl>
    <w:lvl w:ilvl="5" w:tentative="0">
      <w:start w:val="1"/>
      <w:numFmt w:val="decimal"/>
      <w:suff w:val="space"/>
      <w:lvlText w:val="%2.%3.%4.%5.%6"/>
      <w:lvlJc w:val="left"/>
      <w:pPr>
        <w:ind w:left="0" w:firstLine="0"/>
      </w:pPr>
      <w:rPr>
        <w:rFonts w:hint="eastAsia"/>
      </w:rPr>
    </w:lvl>
    <w:lvl w:ilvl="6" w:tentative="0">
      <w:start w:val="1"/>
      <w:numFmt w:val="decimal"/>
      <w:suff w:val="space"/>
      <w:lvlText w:val="%2.%3.%4.%5.%6.%7"/>
      <w:lvlJc w:val="left"/>
      <w:pPr>
        <w:ind w:left="0" w:firstLine="0"/>
      </w:pPr>
      <w:rPr>
        <w:rFonts w:hint="eastAsia"/>
      </w:rPr>
    </w:lvl>
    <w:lvl w:ilvl="7" w:tentative="0">
      <w:start w:val="1"/>
      <w:numFmt w:val="decimal"/>
      <w:suff w:val="space"/>
      <w:lvlText w:val="%2.%3.%4.%5.%6.%7.%8"/>
      <w:lvlJc w:val="left"/>
      <w:pPr>
        <w:ind w:left="0" w:firstLine="0"/>
      </w:pPr>
      <w:rPr>
        <w:rFonts w:hint="eastAsia"/>
      </w:rPr>
    </w:lvl>
    <w:lvl w:ilvl="8" w:tentative="0">
      <w:start w:val="1"/>
      <w:numFmt w:val="decimal"/>
      <w:suff w:val="space"/>
      <w:lvlText w:val="%2.%3.%4.%5.%6.%7.%8.%9"/>
      <w:lvlJc w:val="left"/>
      <w:pPr>
        <w:ind w:left="0" w:firstLine="0"/>
      </w:pPr>
      <w:rPr>
        <w:rFonts w:hint="eastAsia"/>
      </w:rPr>
    </w:lvl>
  </w:abstractNum>
  <w:abstractNum w:abstractNumId="18">
    <w:nsid w:val="4AEB5F9E"/>
    <w:multiLevelType w:val="multilevel"/>
    <w:tmpl w:val="4AEB5F9E"/>
    <w:lvl w:ilvl="0" w:tentative="0">
      <w:start w:val="1"/>
      <w:numFmt w:val="bullet"/>
      <w:lvlText w:val=""/>
      <w:lvlJc w:val="left"/>
      <w:pPr>
        <w:tabs>
          <w:tab w:val="left" w:pos="1216"/>
        </w:tabs>
        <w:ind w:left="1216" w:hanging="420"/>
      </w:pPr>
      <w:rPr>
        <w:rFonts w:hint="default" w:ascii="Wingdings" w:hAnsi="Wingdings"/>
      </w:rPr>
    </w:lvl>
    <w:lvl w:ilvl="1" w:tentative="0">
      <w:start w:val="1"/>
      <w:numFmt w:val="bullet"/>
      <w:lvlText w:val=""/>
      <w:lvlJc w:val="left"/>
      <w:pPr>
        <w:tabs>
          <w:tab w:val="left" w:pos="1636"/>
        </w:tabs>
        <w:ind w:left="1636" w:hanging="420"/>
      </w:pPr>
      <w:rPr>
        <w:rFonts w:hint="default" w:ascii="Wingdings" w:hAnsi="Wingdings"/>
      </w:rPr>
    </w:lvl>
    <w:lvl w:ilvl="2" w:tentative="0">
      <w:start w:val="1"/>
      <w:numFmt w:val="bullet"/>
      <w:lvlText w:val=""/>
      <w:lvlJc w:val="left"/>
      <w:pPr>
        <w:tabs>
          <w:tab w:val="left" w:pos="2056"/>
        </w:tabs>
        <w:ind w:left="2056" w:hanging="420"/>
      </w:pPr>
      <w:rPr>
        <w:rFonts w:hint="default" w:ascii="Wingdings" w:hAnsi="Wingdings"/>
      </w:rPr>
    </w:lvl>
    <w:lvl w:ilvl="3" w:tentative="0">
      <w:start w:val="1"/>
      <w:numFmt w:val="bullet"/>
      <w:lvlText w:val=""/>
      <w:lvlJc w:val="left"/>
      <w:pPr>
        <w:tabs>
          <w:tab w:val="left" w:pos="2476"/>
        </w:tabs>
        <w:ind w:left="2476" w:hanging="420"/>
      </w:pPr>
      <w:rPr>
        <w:rFonts w:hint="default" w:ascii="Wingdings" w:hAnsi="Wingdings"/>
      </w:rPr>
    </w:lvl>
    <w:lvl w:ilvl="4" w:tentative="0">
      <w:start w:val="1"/>
      <w:numFmt w:val="bullet"/>
      <w:lvlText w:val=""/>
      <w:lvlJc w:val="left"/>
      <w:pPr>
        <w:tabs>
          <w:tab w:val="left" w:pos="2896"/>
        </w:tabs>
        <w:ind w:left="2896" w:hanging="420"/>
      </w:pPr>
      <w:rPr>
        <w:rFonts w:hint="default" w:ascii="Wingdings" w:hAnsi="Wingdings"/>
      </w:rPr>
    </w:lvl>
    <w:lvl w:ilvl="5" w:tentative="0">
      <w:start w:val="1"/>
      <w:numFmt w:val="bullet"/>
      <w:lvlText w:val=""/>
      <w:lvlJc w:val="left"/>
      <w:pPr>
        <w:tabs>
          <w:tab w:val="left" w:pos="3316"/>
        </w:tabs>
        <w:ind w:left="3316" w:hanging="420"/>
      </w:pPr>
      <w:rPr>
        <w:rFonts w:hint="default" w:ascii="Wingdings" w:hAnsi="Wingdings"/>
      </w:rPr>
    </w:lvl>
    <w:lvl w:ilvl="6" w:tentative="0">
      <w:start w:val="1"/>
      <w:numFmt w:val="bullet"/>
      <w:lvlText w:val=""/>
      <w:lvlJc w:val="left"/>
      <w:pPr>
        <w:tabs>
          <w:tab w:val="left" w:pos="3736"/>
        </w:tabs>
        <w:ind w:left="3736" w:hanging="420"/>
      </w:pPr>
      <w:rPr>
        <w:rFonts w:hint="default" w:ascii="Wingdings" w:hAnsi="Wingdings"/>
      </w:rPr>
    </w:lvl>
    <w:lvl w:ilvl="7" w:tentative="0">
      <w:start w:val="1"/>
      <w:numFmt w:val="bullet"/>
      <w:lvlText w:val=""/>
      <w:lvlJc w:val="left"/>
      <w:pPr>
        <w:tabs>
          <w:tab w:val="left" w:pos="4156"/>
        </w:tabs>
        <w:ind w:left="4156" w:hanging="420"/>
      </w:pPr>
      <w:rPr>
        <w:rFonts w:hint="default" w:ascii="Wingdings" w:hAnsi="Wingdings"/>
      </w:rPr>
    </w:lvl>
    <w:lvl w:ilvl="8" w:tentative="0">
      <w:start w:val="1"/>
      <w:numFmt w:val="bullet"/>
      <w:lvlText w:val=""/>
      <w:lvlJc w:val="left"/>
      <w:pPr>
        <w:tabs>
          <w:tab w:val="left" w:pos="4576"/>
        </w:tabs>
        <w:ind w:left="4576" w:hanging="420"/>
      </w:pPr>
      <w:rPr>
        <w:rFonts w:hint="default" w:ascii="Wingdings" w:hAnsi="Wingdings"/>
      </w:rPr>
    </w:lvl>
  </w:abstractNum>
  <w:abstractNum w:abstractNumId="19">
    <w:nsid w:val="4EE72E93"/>
    <w:multiLevelType w:val="multilevel"/>
    <w:tmpl w:val="4EE72E93"/>
    <w:lvl w:ilvl="0" w:tentative="0">
      <w:start w:val="1"/>
      <w:numFmt w:val="decimal"/>
      <w:lvlText w:val="(%1)"/>
      <w:legacy w:legacy="1" w:legacySpace="120" w:legacyIndent="360"/>
      <w:lvlJc w:val="left"/>
      <w:pPr>
        <w:ind w:left="1128" w:hanging="360"/>
      </w:pPr>
    </w:lvl>
    <w:lvl w:ilvl="1" w:tentative="0">
      <w:start w:val="1"/>
      <w:numFmt w:val="lowerLetter"/>
      <w:lvlText w:val="%2)"/>
      <w:lvlJc w:val="left"/>
      <w:pPr>
        <w:tabs>
          <w:tab w:val="left" w:pos="2244"/>
        </w:tabs>
        <w:ind w:left="2244" w:hanging="420"/>
      </w:pPr>
    </w:lvl>
    <w:lvl w:ilvl="2" w:tentative="0">
      <w:start w:val="1"/>
      <w:numFmt w:val="lowerRoman"/>
      <w:lvlText w:val="%3."/>
      <w:lvlJc w:val="right"/>
      <w:pPr>
        <w:tabs>
          <w:tab w:val="left" w:pos="2664"/>
        </w:tabs>
        <w:ind w:left="2664" w:hanging="420"/>
      </w:pPr>
    </w:lvl>
    <w:lvl w:ilvl="3" w:tentative="0">
      <w:start w:val="1"/>
      <w:numFmt w:val="decimal"/>
      <w:lvlText w:val="%4."/>
      <w:lvlJc w:val="left"/>
      <w:pPr>
        <w:tabs>
          <w:tab w:val="left" w:pos="3084"/>
        </w:tabs>
        <w:ind w:left="3084" w:hanging="420"/>
      </w:pPr>
    </w:lvl>
    <w:lvl w:ilvl="4" w:tentative="0">
      <w:start w:val="1"/>
      <w:numFmt w:val="lowerLetter"/>
      <w:lvlText w:val="%5)"/>
      <w:lvlJc w:val="left"/>
      <w:pPr>
        <w:tabs>
          <w:tab w:val="left" w:pos="3504"/>
        </w:tabs>
        <w:ind w:left="3504" w:hanging="420"/>
      </w:pPr>
    </w:lvl>
    <w:lvl w:ilvl="5" w:tentative="0">
      <w:start w:val="1"/>
      <w:numFmt w:val="lowerRoman"/>
      <w:lvlText w:val="%6."/>
      <w:lvlJc w:val="right"/>
      <w:pPr>
        <w:tabs>
          <w:tab w:val="left" w:pos="3924"/>
        </w:tabs>
        <w:ind w:left="3924" w:hanging="420"/>
      </w:pPr>
    </w:lvl>
    <w:lvl w:ilvl="6" w:tentative="0">
      <w:start w:val="1"/>
      <w:numFmt w:val="decimal"/>
      <w:lvlText w:val="%7."/>
      <w:lvlJc w:val="left"/>
      <w:pPr>
        <w:tabs>
          <w:tab w:val="left" w:pos="4344"/>
        </w:tabs>
        <w:ind w:left="4344" w:hanging="420"/>
      </w:pPr>
    </w:lvl>
    <w:lvl w:ilvl="7" w:tentative="0">
      <w:start w:val="1"/>
      <w:numFmt w:val="lowerLetter"/>
      <w:lvlText w:val="%8)"/>
      <w:lvlJc w:val="left"/>
      <w:pPr>
        <w:tabs>
          <w:tab w:val="left" w:pos="4764"/>
        </w:tabs>
        <w:ind w:left="4764" w:hanging="420"/>
      </w:pPr>
    </w:lvl>
    <w:lvl w:ilvl="8" w:tentative="0">
      <w:start w:val="1"/>
      <w:numFmt w:val="lowerRoman"/>
      <w:lvlText w:val="%9."/>
      <w:lvlJc w:val="right"/>
      <w:pPr>
        <w:tabs>
          <w:tab w:val="left" w:pos="5184"/>
        </w:tabs>
        <w:ind w:left="5184" w:hanging="420"/>
      </w:pPr>
    </w:lvl>
  </w:abstractNum>
  <w:abstractNum w:abstractNumId="20">
    <w:nsid w:val="517F3D75"/>
    <w:multiLevelType w:val="multilevel"/>
    <w:tmpl w:val="517F3D7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55A613CD"/>
    <w:multiLevelType w:val="multilevel"/>
    <w:tmpl w:val="55A613CD"/>
    <w:lvl w:ilvl="0" w:tentative="0">
      <w:start w:val="1"/>
      <w:numFmt w:val="bullet"/>
      <w:lvlText w:val=""/>
      <w:lvlJc w:val="left"/>
      <w:pPr>
        <w:tabs>
          <w:tab w:val="left" w:pos="1216"/>
        </w:tabs>
        <w:ind w:left="1216" w:hanging="420"/>
      </w:pPr>
      <w:rPr>
        <w:rFonts w:hint="default" w:ascii="Wingdings" w:hAnsi="Wingdings"/>
      </w:rPr>
    </w:lvl>
    <w:lvl w:ilvl="1" w:tentative="0">
      <w:start w:val="1"/>
      <w:numFmt w:val="bullet"/>
      <w:lvlText w:val=""/>
      <w:lvlJc w:val="left"/>
      <w:pPr>
        <w:tabs>
          <w:tab w:val="left" w:pos="1636"/>
        </w:tabs>
        <w:ind w:left="1636" w:hanging="420"/>
      </w:pPr>
      <w:rPr>
        <w:rFonts w:hint="default" w:ascii="Wingdings" w:hAnsi="Wingdings"/>
      </w:rPr>
    </w:lvl>
    <w:lvl w:ilvl="2" w:tentative="0">
      <w:start w:val="1"/>
      <w:numFmt w:val="bullet"/>
      <w:lvlText w:val=""/>
      <w:lvlJc w:val="left"/>
      <w:pPr>
        <w:tabs>
          <w:tab w:val="left" w:pos="2056"/>
        </w:tabs>
        <w:ind w:left="2056" w:hanging="420"/>
      </w:pPr>
      <w:rPr>
        <w:rFonts w:hint="default" w:ascii="Wingdings" w:hAnsi="Wingdings"/>
      </w:rPr>
    </w:lvl>
    <w:lvl w:ilvl="3" w:tentative="0">
      <w:start w:val="1"/>
      <w:numFmt w:val="bullet"/>
      <w:lvlText w:val=""/>
      <w:lvlJc w:val="left"/>
      <w:pPr>
        <w:tabs>
          <w:tab w:val="left" w:pos="2476"/>
        </w:tabs>
        <w:ind w:left="2476" w:hanging="420"/>
      </w:pPr>
      <w:rPr>
        <w:rFonts w:hint="default" w:ascii="Wingdings" w:hAnsi="Wingdings"/>
      </w:rPr>
    </w:lvl>
    <w:lvl w:ilvl="4" w:tentative="0">
      <w:start w:val="1"/>
      <w:numFmt w:val="bullet"/>
      <w:lvlText w:val=""/>
      <w:lvlJc w:val="left"/>
      <w:pPr>
        <w:tabs>
          <w:tab w:val="left" w:pos="2896"/>
        </w:tabs>
        <w:ind w:left="2896" w:hanging="420"/>
      </w:pPr>
      <w:rPr>
        <w:rFonts w:hint="default" w:ascii="Wingdings" w:hAnsi="Wingdings"/>
      </w:rPr>
    </w:lvl>
    <w:lvl w:ilvl="5" w:tentative="0">
      <w:start w:val="1"/>
      <w:numFmt w:val="bullet"/>
      <w:lvlText w:val=""/>
      <w:lvlJc w:val="left"/>
      <w:pPr>
        <w:tabs>
          <w:tab w:val="left" w:pos="3316"/>
        </w:tabs>
        <w:ind w:left="3316" w:hanging="420"/>
      </w:pPr>
      <w:rPr>
        <w:rFonts w:hint="default" w:ascii="Wingdings" w:hAnsi="Wingdings"/>
      </w:rPr>
    </w:lvl>
    <w:lvl w:ilvl="6" w:tentative="0">
      <w:start w:val="1"/>
      <w:numFmt w:val="bullet"/>
      <w:lvlText w:val=""/>
      <w:lvlJc w:val="left"/>
      <w:pPr>
        <w:tabs>
          <w:tab w:val="left" w:pos="3736"/>
        </w:tabs>
        <w:ind w:left="3736" w:hanging="420"/>
      </w:pPr>
      <w:rPr>
        <w:rFonts w:hint="default" w:ascii="Wingdings" w:hAnsi="Wingdings"/>
      </w:rPr>
    </w:lvl>
    <w:lvl w:ilvl="7" w:tentative="0">
      <w:start w:val="1"/>
      <w:numFmt w:val="bullet"/>
      <w:lvlText w:val=""/>
      <w:lvlJc w:val="left"/>
      <w:pPr>
        <w:tabs>
          <w:tab w:val="left" w:pos="4156"/>
        </w:tabs>
        <w:ind w:left="4156" w:hanging="420"/>
      </w:pPr>
      <w:rPr>
        <w:rFonts w:hint="default" w:ascii="Wingdings" w:hAnsi="Wingdings"/>
      </w:rPr>
    </w:lvl>
    <w:lvl w:ilvl="8" w:tentative="0">
      <w:start w:val="1"/>
      <w:numFmt w:val="bullet"/>
      <w:lvlText w:val=""/>
      <w:lvlJc w:val="left"/>
      <w:pPr>
        <w:tabs>
          <w:tab w:val="left" w:pos="4576"/>
        </w:tabs>
        <w:ind w:left="4576" w:hanging="420"/>
      </w:pPr>
      <w:rPr>
        <w:rFonts w:hint="default" w:ascii="Wingdings" w:hAnsi="Wingdings"/>
      </w:rPr>
    </w:lvl>
  </w:abstractNum>
  <w:abstractNum w:abstractNumId="22">
    <w:nsid w:val="573D1A7E"/>
    <w:multiLevelType w:val="multilevel"/>
    <w:tmpl w:val="573D1A7E"/>
    <w:lvl w:ilvl="0" w:tentative="0">
      <w:start w:val="1"/>
      <w:numFmt w:val="bullet"/>
      <w:lvlText w:val=""/>
      <w:lvlJc w:val="left"/>
      <w:pPr>
        <w:tabs>
          <w:tab w:val="left" w:pos="1216"/>
        </w:tabs>
        <w:ind w:left="1216" w:hanging="420"/>
      </w:pPr>
      <w:rPr>
        <w:rFonts w:hint="default" w:ascii="Wingdings" w:hAnsi="Wingdings"/>
      </w:rPr>
    </w:lvl>
    <w:lvl w:ilvl="1" w:tentative="0">
      <w:start w:val="1"/>
      <w:numFmt w:val="bullet"/>
      <w:lvlText w:val=""/>
      <w:lvlJc w:val="left"/>
      <w:pPr>
        <w:tabs>
          <w:tab w:val="left" w:pos="1636"/>
        </w:tabs>
        <w:ind w:left="1636" w:hanging="420"/>
      </w:pPr>
      <w:rPr>
        <w:rFonts w:hint="default" w:ascii="Wingdings" w:hAnsi="Wingdings"/>
      </w:rPr>
    </w:lvl>
    <w:lvl w:ilvl="2" w:tentative="0">
      <w:start w:val="1"/>
      <w:numFmt w:val="bullet"/>
      <w:lvlText w:val=""/>
      <w:lvlJc w:val="left"/>
      <w:pPr>
        <w:tabs>
          <w:tab w:val="left" w:pos="2056"/>
        </w:tabs>
        <w:ind w:left="2056" w:hanging="420"/>
      </w:pPr>
      <w:rPr>
        <w:rFonts w:hint="default" w:ascii="Wingdings" w:hAnsi="Wingdings"/>
      </w:rPr>
    </w:lvl>
    <w:lvl w:ilvl="3" w:tentative="0">
      <w:start w:val="1"/>
      <w:numFmt w:val="bullet"/>
      <w:lvlText w:val=""/>
      <w:lvlJc w:val="left"/>
      <w:pPr>
        <w:tabs>
          <w:tab w:val="left" w:pos="2476"/>
        </w:tabs>
        <w:ind w:left="2476" w:hanging="420"/>
      </w:pPr>
      <w:rPr>
        <w:rFonts w:hint="default" w:ascii="Wingdings" w:hAnsi="Wingdings"/>
      </w:rPr>
    </w:lvl>
    <w:lvl w:ilvl="4" w:tentative="0">
      <w:start w:val="1"/>
      <w:numFmt w:val="bullet"/>
      <w:lvlText w:val=""/>
      <w:lvlJc w:val="left"/>
      <w:pPr>
        <w:tabs>
          <w:tab w:val="left" w:pos="2896"/>
        </w:tabs>
        <w:ind w:left="2896" w:hanging="420"/>
      </w:pPr>
      <w:rPr>
        <w:rFonts w:hint="default" w:ascii="Wingdings" w:hAnsi="Wingdings"/>
      </w:rPr>
    </w:lvl>
    <w:lvl w:ilvl="5" w:tentative="0">
      <w:start w:val="1"/>
      <w:numFmt w:val="bullet"/>
      <w:lvlText w:val=""/>
      <w:lvlJc w:val="left"/>
      <w:pPr>
        <w:tabs>
          <w:tab w:val="left" w:pos="3316"/>
        </w:tabs>
        <w:ind w:left="3316" w:hanging="420"/>
      </w:pPr>
      <w:rPr>
        <w:rFonts w:hint="default" w:ascii="Wingdings" w:hAnsi="Wingdings"/>
      </w:rPr>
    </w:lvl>
    <w:lvl w:ilvl="6" w:tentative="0">
      <w:start w:val="1"/>
      <w:numFmt w:val="bullet"/>
      <w:lvlText w:val=""/>
      <w:lvlJc w:val="left"/>
      <w:pPr>
        <w:tabs>
          <w:tab w:val="left" w:pos="3736"/>
        </w:tabs>
        <w:ind w:left="3736" w:hanging="420"/>
      </w:pPr>
      <w:rPr>
        <w:rFonts w:hint="default" w:ascii="Wingdings" w:hAnsi="Wingdings"/>
      </w:rPr>
    </w:lvl>
    <w:lvl w:ilvl="7" w:tentative="0">
      <w:start w:val="1"/>
      <w:numFmt w:val="bullet"/>
      <w:lvlText w:val=""/>
      <w:lvlJc w:val="left"/>
      <w:pPr>
        <w:tabs>
          <w:tab w:val="left" w:pos="4156"/>
        </w:tabs>
        <w:ind w:left="4156" w:hanging="420"/>
      </w:pPr>
      <w:rPr>
        <w:rFonts w:hint="default" w:ascii="Wingdings" w:hAnsi="Wingdings"/>
      </w:rPr>
    </w:lvl>
    <w:lvl w:ilvl="8" w:tentative="0">
      <w:start w:val="1"/>
      <w:numFmt w:val="bullet"/>
      <w:lvlText w:val=""/>
      <w:lvlJc w:val="left"/>
      <w:pPr>
        <w:tabs>
          <w:tab w:val="left" w:pos="4576"/>
        </w:tabs>
        <w:ind w:left="4576" w:hanging="420"/>
      </w:pPr>
      <w:rPr>
        <w:rFonts w:hint="default" w:ascii="Wingdings" w:hAnsi="Wingdings"/>
      </w:rPr>
    </w:lvl>
  </w:abstractNum>
  <w:abstractNum w:abstractNumId="23">
    <w:nsid w:val="5DD87B20"/>
    <w:multiLevelType w:val="multilevel"/>
    <w:tmpl w:val="5DD87B2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607D5D38"/>
    <w:multiLevelType w:val="multilevel"/>
    <w:tmpl w:val="607D5D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4A56851"/>
    <w:multiLevelType w:val="multilevel"/>
    <w:tmpl w:val="64A5685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54D7FAB"/>
    <w:multiLevelType w:val="multilevel"/>
    <w:tmpl w:val="654D7FA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65652C0D"/>
    <w:multiLevelType w:val="multilevel"/>
    <w:tmpl w:val="65652C0D"/>
    <w:lvl w:ilvl="0" w:tentative="0">
      <w:start w:val="1"/>
      <w:numFmt w:val="bullet"/>
      <w:lvlText w:val=""/>
      <w:lvlJc w:val="left"/>
      <w:pPr>
        <w:tabs>
          <w:tab w:val="left" w:pos="1216"/>
        </w:tabs>
        <w:ind w:left="1216" w:hanging="420"/>
      </w:pPr>
      <w:rPr>
        <w:rFonts w:hint="default" w:ascii="Wingdings" w:hAnsi="Wingdings"/>
      </w:rPr>
    </w:lvl>
    <w:lvl w:ilvl="1" w:tentative="0">
      <w:start w:val="1"/>
      <w:numFmt w:val="bullet"/>
      <w:lvlText w:val=""/>
      <w:lvlJc w:val="left"/>
      <w:pPr>
        <w:tabs>
          <w:tab w:val="left" w:pos="1636"/>
        </w:tabs>
        <w:ind w:left="1636" w:hanging="420"/>
      </w:pPr>
      <w:rPr>
        <w:rFonts w:hint="default" w:ascii="Wingdings" w:hAnsi="Wingdings"/>
      </w:rPr>
    </w:lvl>
    <w:lvl w:ilvl="2" w:tentative="0">
      <w:start w:val="1"/>
      <w:numFmt w:val="bullet"/>
      <w:lvlText w:val=""/>
      <w:lvlJc w:val="left"/>
      <w:pPr>
        <w:tabs>
          <w:tab w:val="left" w:pos="2056"/>
        </w:tabs>
        <w:ind w:left="2056" w:hanging="420"/>
      </w:pPr>
      <w:rPr>
        <w:rFonts w:hint="default" w:ascii="Wingdings" w:hAnsi="Wingdings"/>
      </w:rPr>
    </w:lvl>
    <w:lvl w:ilvl="3" w:tentative="0">
      <w:start w:val="1"/>
      <w:numFmt w:val="bullet"/>
      <w:lvlText w:val=""/>
      <w:lvlJc w:val="left"/>
      <w:pPr>
        <w:tabs>
          <w:tab w:val="left" w:pos="2476"/>
        </w:tabs>
        <w:ind w:left="2476" w:hanging="420"/>
      </w:pPr>
      <w:rPr>
        <w:rFonts w:hint="default" w:ascii="Wingdings" w:hAnsi="Wingdings"/>
      </w:rPr>
    </w:lvl>
    <w:lvl w:ilvl="4" w:tentative="0">
      <w:start w:val="1"/>
      <w:numFmt w:val="bullet"/>
      <w:lvlText w:val=""/>
      <w:lvlJc w:val="left"/>
      <w:pPr>
        <w:tabs>
          <w:tab w:val="left" w:pos="2896"/>
        </w:tabs>
        <w:ind w:left="2896" w:hanging="420"/>
      </w:pPr>
      <w:rPr>
        <w:rFonts w:hint="default" w:ascii="Wingdings" w:hAnsi="Wingdings"/>
      </w:rPr>
    </w:lvl>
    <w:lvl w:ilvl="5" w:tentative="0">
      <w:start w:val="1"/>
      <w:numFmt w:val="bullet"/>
      <w:lvlText w:val=""/>
      <w:lvlJc w:val="left"/>
      <w:pPr>
        <w:tabs>
          <w:tab w:val="left" w:pos="3316"/>
        </w:tabs>
        <w:ind w:left="3316" w:hanging="420"/>
      </w:pPr>
      <w:rPr>
        <w:rFonts w:hint="default" w:ascii="Wingdings" w:hAnsi="Wingdings"/>
      </w:rPr>
    </w:lvl>
    <w:lvl w:ilvl="6" w:tentative="0">
      <w:start w:val="1"/>
      <w:numFmt w:val="bullet"/>
      <w:lvlText w:val=""/>
      <w:lvlJc w:val="left"/>
      <w:pPr>
        <w:tabs>
          <w:tab w:val="left" w:pos="3736"/>
        </w:tabs>
        <w:ind w:left="3736" w:hanging="420"/>
      </w:pPr>
      <w:rPr>
        <w:rFonts w:hint="default" w:ascii="Wingdings" w:hAnsi="Wingdings"/>
      </w:rPr>
    </w:lvl>
    <w:lvl w:ilvl="7" w:tentative="0">
      <w:start w:val="1"/>
      <w:numFmt w:val="bullet"/>
      <w:lvlText w:val=""/>
      <w:lvlJc w:val="left"/>
      <w:pPr>
        <w:tabs>
          <w:tab w:val="left" w:pos="4156"/>
        </w:tabs>
        <w:ind w:left="4156" w:hanging="420"/>
      </w:pPr>
      <w:rPr>
        <w:rFonts w:hint="default" w:ascii="Wingdings" w:hAnsi="Wingdings"/>
      </w:rPr>
    </w:lvl>
    <w:lvl w:ilvl="8" w:tentative="0">
      <w:start w:val="1"/>
      <w:numFmt w:val="bullet"/>
      <w:lvlText w:val=""/>
      <w:lvlJc w:val="left"/>
      <w:pPr>
        <w:tabs>
          <w:tab w:val="left" w:pos="4576"/>
        </w:tabs>
        <w:ind w:left="4576" w:hanging="420"/>
      </w:pPr>
      <w:rPr>
        <w:rFonts w:hint="default" w:ascii="Wingdings" w:hAnsi="Wingdings"/>
      </w:rPr>
    </w:lvl>
  </w:abstractNum>
  <w:abstractNum w:abstractNumId="28">
    <w:nsid w:val="6568121D"/>
    <w:multiLevelType w:val="multilevel"/>
    <w:tmpl w:val="6568121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694718A5"/>
    <w:multiLevelType w:val="multilevel"/>
    <w:tmpl w:val="694718A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7447176F"/>
    <w:multiLevelType w:val="multilevel"/>
    <w:tmpl w:val="7447176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7630637F"/>
    <w:multiLevelType w:val="multilevel"/>
    <w:tmpl w:val="7630637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7E00269A"/>
    <w:multiLevelType w:val="multilevel"/>
    <w:tmpl w:val="7E00269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7"/>
  </w:num>
  <w:num w:numId="2">
    <w:abstractNumId w:val="1"/>
  </w:num>
  <w:num w:numId="3">
    <w:abstractNumId w:val="12"/>
  </w:num>
  <w:num w:numId="4">
    <w:abstractNumId w:val="32"/>
  </w:num>
  <w:num w:numId="5">
    <w:abstractNumId w:val="24"/>
  </w:num>
  <w:num w:numId="6">
    <w:abstractNumId w:val="26"/>
  </w:num>
  <w:num w:numId="7">
    <w:abstractNumId w:val="9"/>
  </w:num>
  <w:num w:numId="8">
    <w:abstractNumId w:val="5"/>
  </w:num>
  <w:num w:numId="9">
    <w:abstractNumId w:val="30"/>
  </w:num>
  <w:num w:numId="10">
    <w:abstractNumId w:val="7"/>
  </w:num>
  <w:num w:numId="11">
    <w:abstractNumId w:val="19"/>
  </w:num>
  <w:num w:numId="12">
    <w:abstractNumId w:val="25"/>
  </w:num>
  <w:num w:numId="13">
    <w:abstractNumId w:val="11"/>
  </w:num>
  <w:num w:numId="14">
    <w:abstractNumId w:val="29"/>
  </w:num>
  <w:num w:numId="15">
    <w:abstractNumId w:val="20"/>
  </w:num>
  <w:num w:numId="16">
    <w:abstractNumId w:val="14"/>
  </w:num>
  <w:num w:numId="17">
    <w:abstractNumId w:val="3"/>
  </w:num>
  <w:num w:numId="18">
    <w:abstractNumId w:val="16"/>
  </w:num>
  <w:num w:numId="19">
    <w:abstractNumId w:val="6"/>
  </w:num>
  <w:num w:numId="20">
    <w:abstractNumId w:val="28"/>
  </w:num>
  <w:num w:numId="21">
    <w:abstractNumId w:val="4"/>
  </w:num>
  <w:num w:numId="22">
    <w:abstractNumId w:val="2"/>
  </w:num>
  <w:num w:numId="23">
    <w:abstractNumId w:val="27"/>
  </w:num>
  <w:num w:numId="24">
    <w:abstractNumId w:val="21"/>
  </w:num>
  <w:num w:numId="25">
    <w:abstractNumId w:val="13"/>
  </w:num>
  <w:num w:numId="26">
    <w:abstractNumId w:val="22"/>
  </w:num>
  <w:num w:numId="27">
    <w:abstractNumId w:val="10"/>
  </w:num>
  <w:num w:numId="28">
    <w:abstractNumId w:val="18"/>
  </w:num>
  <w:num w:numId="29">
    <w:abstractNumId w:val="8"/>
  </w:num>
  <w:num w:numId="30">
    <w:abstractNumId w:val="23"/>
  </w:num>
  <w:num w:numId="31">
    <w:abstractNumId w:val="15"/>
  </w:num>
  <w:num w:numId="32">
    <w:abstractNumId w:val="3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8747E"/>
    <w:rsid w:val="018E4897"/>
    <w:rsid w:val="067301DB"/>
    <w:rsid w:val="09B37853"/>
    <w:rsid w:val="0AA47D81"/>
    <w:rsid w:val="0D6F46AE"/>
    <w:rsid w:val="16920BB5"/>
    <w:rsid w:val="18F344A9"/>
    <w:rsid w:val="1B51109C"/>
    <w:rsid w:val="241A2BBF"/>
    <w:rsid w:val="24D15324"/>
    <w:rsid w:val="2ABB0720"/>
    <w:rsid w:val="300D59A2"/>
    <w:rsid w:val="3366141B"/>
    <w:rsid w:val="36BF1386"/>
    <w:rsid w:val="3A0142CE"/>
    <w:rsid w:val="3B0B2106"/>
    <w:rsid w:val="40E402BC"/>
    <w:rsid w:val="46CB5413"/>
    <w:rsid w:val="5009366D"/>
    <w:rsid w:val="51134051"/>
    <w:rsid w:val="53510364"/>
    <w:rsid w:val="544D7763"/>
    <w:rsid w:val="57065C8E"/>
    <w:rsid w:val="5D25110E"/>
    <w:rsid w:val="5EA708C3"/>
    <w:rsid w:val="5F3A2274"/>
    <w:rsid w:val="66816CFD"/>
    <w:rsid w:val="6B48747E"/>
    <w:rsid w:val="71B40089"/>
    <w:rsid w:val="73A52F51"/>
    <w:rsid w:val="74D53393"/>
    <w:rsid w:val="78D345A2"/>
    <w:rsid w:val="7C3015A2"/>
    <w:rsid w:val="7CCF66CF"/>
    <w:rsid w:val="7D5E0924"/>
    <w:rsid w:val="7E7755BF"/>
    <w:rsid w:val="7E917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qFormat/>
    <w:uiPriority w:val="9"/>
    <w:pPr>
      <w:keepNext/>
      <w:keepLines/>
      <w:numPr>
        <w:ilvl w:val="2"/>
        <w:numId w:val="1"/>
      </w:numPr>
      <w:spacing w:line="360" w:lineRule="auto"/>
      <w:outlineLvl w:val="2"/>
    </w:pPr>
    <w:rPr>
      <w:rFonts w:ascii="宋体" w:eastAsia="宋体"/>
      <w:b/>
      <w:bCs/>
      <w:sz w:val="28"/>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jc w:val="left"/>
      <w:textAlignment w:val="baseline"/>
    </w:pPr>
    <w:rPr>
      <w:kern w:val="0"/>
      <w:sz w:val="24"/>
      <w:szCs w:val="20"/>
    </w:rPr>
  </w:style>
  <w:style w:type="paragraph" w:styleId="4">
    <w:name w:val="Body Text"/>
    <w:basedOn w:val="1"/>
    <w:qFormat/>
    <w:uiPriority w:val="0"/>
    <w:pPr>
      <w:widowControl/>
      <w:spacing w:after="120"/>
      <w:jc w:val="left"/>
    </w:pPr>
    <w:rPr>
      <w:kern w:val="0"/>
      <w:sz w:val="24"/>
    </w:rPr>
  </w:style>
  <w:style w:type="paragraph" w:styleId="5">
    <w:name w:val="Body Text Indent"/>
    <w:basedOn w:val="1"/>
    <w:qFormat/>
    <w:uiPriority w:val="0"/>
    <w:pPr>
      <w:ind w:firstLine="420" w:firstLineChars="200"/>
    </w:pPr>
  </w:style>
  <w:style w:type="paragraph" w:styleId="6">
    <w:name w:val="Plain Text"/>
    <w:basedOn w:val="1"/>
    <w:qFormat/>
    <w:uiPriority w:val="0"/>
    <w:rPr>
      <w:rFonts w:ascii="宋体" w:hAnsi="Courier New"/>
      <w:szCs w:val="20"/>
    </w:rPr>
  </w:style>
  <w:style w:type="paragraph" w:styleId="7">
    <w:name w:val="Date"/>
    <w:basedOn w:val="1"/>
    <w:next w:val="1"/>
    <w:qFormat/>
    <w:uiPriority w:val="0"/>
    <w:pPr>
      <w:adjustRightInd w:val="0"/>
      <w:spacing w:line="360" w:lineRule="atLeast"/>
      <w:textAlignment w:val="baseline"/>
    </w:pPr>
    <w:rPr>
      <w:rFonts w:ascii="宋体"/>
      <w:kern w:val="0"/>
      <w:sz w:val="24"/>
      <w:szCs w:val="20"/>
    </w:rPr>
  </w:style>
  <w:style w:type="paragraph" w:styleId="8">
    <w:name w:val="Body Text Indent 2"/>
    <w:basedOn w:val="1"/>
    <w:qFormat/>
    <w:uiPriority w:val="0"/>
    <w:pPr>
      <w:autoSpaceDE w:val="0"/>
      <w:autoSpaceDN w:val="0"/>
      <w:adjustRightInd w:val="0"/>
      <w:ind w:left="1260"/>
      <w:textAlignment w:val="baseline"/>
    </w:pPr>
    <w:rPr>
      <w:szCs w:val="20"/>
    </w:rPr>
  </w:style>
  <w:style w:type="paragraph" w:styleId="9">
    <w:name w:val="footer"/>
    <w:basedOn w:val="1"/>
    <w:qFormat/>
    <w:uiPriority w:val="0"/>
    <w:pPr>
      <w:tabs>
        <w:tab w:val="center" w:pos="4153"/>
        <w:tab w:val="right" w:pos="8306"/>
      </w:tabs>
      <w:snapToGrid w:val="0"/>
      <w:spacing w:line="240" w:lineRule="atLeast"/>
      <w:jc w:val="left"/>
    </w:pPr>
    <w:rPr>
      <w:sz w:val="18"/>
      <w:szCs w:val="18"/>
    </w:rPr>
  </w:style>
  <w:style w:type="paragraph" w:customStyle="1" w:styleId="12">
    <w:name w:val="样式1"/>
    <w:basedOn w:val="1"/>
    <w:qFormat/>
    <w:uiPriority w:val="0"/>
    <w:pPr>
      <w:numPr>
        <w:ilvl w:val="0"/>
        <w:numId w:val="2"/>
      </w:numPr>
    </w:pPr>
    <w:rPr>
      <w:kern w:val="16"/>
      <w:sz w:val="24"/>
      <w:szCs w:val="20"/>
    </w:rPr>
  </w:style>
  <w:style w:type="paragraph" w:customStyle="1" w:styleId="13">
    <w:name w:val="表文"/>
    <w:basedOn w:val="1"/>
    <w:qFormat/>
    <w:uiPriority w:val="0"/>
    <w:pPr>
      <w:topLinePunct/>
      <w:spacing w:before="40" w:after="40"/>
    </w:pPr>
    <w:rPr>
      <w:rFonts w:ascii="仿宋_GB2312" w:hAnsi="仿宋_GB2312" w:eastAsia="仿宋_GB2312"/>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14070</Words>
  <Characters>15512</Characters>
  <Lines>0</Lines>
  <Paragraphs>0</Paragraphs>
  <TotalTime>5</TotalTime>
  <ScaleCrop>false</ScaleCrop>
  <LinksUpToDate>false</LinksUpToDate>
  <CharactersWithSpaces>15864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2025-07-15T02:31:00Z</dcterms:created>
  <dc:creator>Administrator</dc:creator>
  <cp:lastModifiedBy>WPS_QHSE</cp:lastModifiedBy>
  <dcterms:modified xsi:type="dcterms:W3CDTF">2025-08-19T01:01:36Z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B15168CD0C4B42A5A4E80A68DDBFE4E5_11</vt:lpwstr>
  </property>
  <property fmtid="{D5CDD505-2E9C-101B-9397-08002B2CF9AE}" pid="4" name="KSOTemplateDocerSaveRecord">
    <vt:lpwstr>eyJoZGlkIjoiMzEwNTM5NzYwMDRjMzkwZTVkZjY2ODkwMGIxNGU0OTUiLCJ1c2VySWQiOiIxNjkzMTAxNjQ4In0=</vt:lpwstr>
  </property>
</Properties>
</file>