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B3F34B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技术规格书</w:t>
      </w:r>
    </w:p>
    <w:p w14:paraId="08902683">
      <w:pPr>
        <w:shd w:val="clear" w:color="auto" w:fill="FFFFFF"/>
        <w:adjustRightInd w:val="0"/>
        <w:snapToGrid w:val="0"/>
        <w:spacing w:line="360" w:lineRule="auto"/>
        <w:ind w:firstLine="640" w:firstLineChars="200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．本技术规格书适用于福建省东南电化股份有限公司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碳管家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有关方面的要求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，主要包括但不限于协助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公司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开展：碳数据质量审核、履约交易策略服务、碳排放预核查服务、企业碳管理能力提升培训等。</w:t>
      </w:r>
    </w:p>
    <w:p w14:paraId="10F61ED9">
      <w:pPr>
        <w:shd w:val="clear" w:color="auto" w:fill="FFFFFF"/>
        <w:adjustRightInd w:val="0"/>
        <w:snapToGrid w:val="0"/>
        <w:spacing w:line="360" w:lineRule="auto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2. 本技术规格书提出的是最低限度要求，并未对一切细节做出规定，也未充分引述有关标准和规范的条文，投标方应保证提供符合本技术规范书和有关工业标准，同时必须满足国家有关安全、环保等强制性标准和规范的要求。</w:t>
      </w:r>
    </w:p>
    <w:p w14:paraId="5D3B644F">
      <w:pPr>
        <w:shd w:val="clear" w:color="auto" w:fill="FFFFFF"/>
        <w:adjustRightInd w:val="0"/>
        <w:snapToGrid w:val="0"/>
        <w:spacing w:line="360" w:lineRule="auto"/>
        <w:ind w:firstLine="640" w:firstLineChars="200"/>
        <w:rPr>
          <w:rFonts w:hint="eastAsia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3．投标人须具备以下要求</w:t>
      </w:r>
    </w:p>
    <w:p w14:paraId="2EE55EA3">
      <w:pPr>
        <w:shd w:val="clear" w:color="auto" w:fill="FFFFFF"/>
        <w:adjustRightInd w:val="0"/>
        <w:snapToGrid w:val="0"/>
        <w:spacing w:line="360" w:lineRule="auto"/>
        <w:ind w:firstLine="640" w:firstLineChars="200"/>
        <w:rPr>
          <w:rFonts w:hint="eastAsia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（1）参选人需满足在中华人民共和国境内注册、具有独立承担民事责任能力的企业法人、营业执照经营范围符合比选项目要求；</w:t>
      </w:r>
    </w:p>
    <w:p w14:paraId="03E9B102">
      <w:pPr>
        <w:shd w:val="clear" w:color="auto" w:fill="FFFFFF"/>
        <w:adjustRightInd w:val="0"/>
        <w:snapToGrid w:val="0"/>
        <w:spacing w:line="360" w:lineRule="auto"/>
        <w:ind w:firstLine="640" w:firstLineChars="200"/>
        <w:rPr>
          <w:rFonts w:hint="eastAsia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）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参选人派出的现场工作人员应具有碳管家服务经验，具有满足现场咨询及日常指导的能力，确保甲方日常管理符合规范要求，并具有碳排放管理相关证书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；</w:t>
      </w:r>
    </w:p>
    <w:p w14:paraId="40768048">
      <w:pPr>
        <w:shd w:val="clear" w:color="auto" w:fill="FFFFFF"/>
        <w:adjustRightInd w:val="0"/>
        <w:snapToGrid w:val="0"/>
        <w:spacing w:line="360" w:lineRule="auto"/>
        <w:ind w:firstLine="640" w:firstLineChars="200"/>
        <w:rPr>
          <w:rFonts w:hint="eastAsia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）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曾参与过国家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或福建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碳排放核查或参与核查报告评审，熟悉国家、福建碳排放数据质量管理规范化政策要求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发电、化工行业）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；</w:t>
      </w:r>
      <w:bookmarkStart w:id="0" w:name="_GoBack"/>
      <w:bookmarkEnd w:id="0"/>
    </w:p>
    <w:p w14:paraId="0A521C9F">
      <w:pPr>
        <w:shd w:val="clear" w:color="auto" w:fill="FFFFFF"/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）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自项目发布比选公告之日的前三年内，参选人应具有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至少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1个碳管理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相关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服务业绩</w:t>
      </w:r>
    </w:p>
    <w:p w14:paraId="593FCBC0">
      <w:pPr>
        <w:shd w:val="clear" w:color="auto" w:fill="FFFFFF"/>
        <w:adjustRightInd w:val="0"/>
        <w:snapToGrid w:val="0"/>
        <w:spacing w:line="360" w:lineRule="auto"/>
        <w:ind w:firstLine="640" w:firstLineChars="200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．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碳管家技术咨询服务内容</w:t>
      </w:r>
    </w:p>
    <w:p w14:paraId="2DA17AC8">
      <w:pPr>
        <w:shd w:val="clear" w:color="auto" w:fill="FFFFFF"/>
        <w:adjustRightInd w:val="0"/>
        <w:snapToGrid w:val="0"/>
        <w:spacing w:line="360" w:lineRule="auto"/>
        <w:ind w:firstLine="640" w:firstLineChars="200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主要包括协助企业开展:碳数据质量审核、履约交易策略服务、碳排放预核查服务、企业碳管理能力提升培训等，具体工作如下：</w:t>
      </w:r>
    </w:p>
    <w:p w14:paraId="4AF4E866">
      <w:pPr>
        <w:shd w:val="clear" w:color="auto" w:fill="FFFFFF"/>
        <w:adjustRightInd w:val="0"/>
        <w:snapToGrid w:val="0"/>
        <w:spacing w:line="360" w:lineRule="auto"/>
        <w:ind w:firstLine="640" w:firstLineChars="200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（1）企业碳数据质量审核服务:碳管家负责协助企业按照国家相关规范要求，做好碳排放相关数据管理工作，包括煤样采样及制样、化验、数据的采集、监测、管理以及资料存证等工作，对相关工作进行技术指导，并协助做好月度信息化存证工作，同时评估诊断企业碳排放数据统计、计量、检验检测、数据存证等，需每月提交《月度碳排放数据质量合规诊断结果表》及提升建议，协助完成年度数据质量控制计划修订。</w:t>
      </w:r>
    </w:p>
    <w:p w14:paraId="73EF83B3">
      <w:pPr>
        <w:shd w:val="clear" w:color="auto" w:fill="FFFFFF"/>
        <w:adjustRightInd w:val="0"/>
        <w:snapToGrid w:val="0"/>
        <w:spacing w:line="360" w:lineRule="auto"/>
        <w:ind w:firstLine="640" w:firstLineChars="200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（2）碳市场分析及履约交易策略服务:碳管家根据碳排放及预测企业碳配额情况，结合碳市场运行分析研判和企业年度经营发展目标，在确保约合规前提下，分析市场行情，需每季度提交《季度碳市场分析报告及履约交易建议》供决策。</w:t>
      </w:r>
    </w:p>
    <w:p w14:paraId="10C6FAC3">
      <w:pPr>
        <w:shd w:val="clear" w:color="auto" w:fill="FFFFFF"/>
        <w:adjustRightInd w:val="0"/>
        <w:snapToGrid w:val="0"/>
        <w:spacing w:line="360" w:lineRule="auto"/>
        <w:ind w:firstLine="640" w:firstLineChars="200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（3）碳排放预核查服务。根据主管部门对碳相关检查核查工作要求，提供包括核查资料准备、预查预演预练指导、现场陪检等在内的全方位服务，确保碳排放数据真实准确满足规定要求，负责解答、回应、解决核査检査过程中遇到的各种问题，提出解决方案并协助整改落实合规，完成不符合项闭环，协助企业完成年度清缴，取得全国碳市场《履约完成证明》。</w:t>
      </w:r>
    </w:p>
    <w:p w14:paraId="04E08839">
      <w:pPr>
        <w:shd w:val="clear" w:color="auto" w:fill="FFFFFF"/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（4）企业碳管理能力提升培训:依据全国有关行业控排发展政策要求，结合企业“碳排放”现状、管理薄弱环节，开展定期定制化的培训服务，主要包含但不限于: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碳计量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、碳管理、碳标准、碳认证、碳资产、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碳交易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等相关业务人员培训。培训工作不少于6次/年，每次培训不少于4学时，并提供培训课件电子版。</w:t>
      </w:r>
    </w:p>
    <w:p w14:paraId="7EC583A8">
      <w:pPr>
        <w:ind w:firstLine="640" w:firstLineChars="200"/>
        <w:jc w:val="both"/>
        <w:rPr>
          <w:rFonts w:hint="eastAsia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．评定及验收要求</w:t>
      </w:r>
    </w:p>
    <w:p w14:paraId="58EFC387">
      <w:pPr>
        <w:ind w:firstLine="640" w:firstLineChars="200"/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根据相关执行标准及招标质量要求，在规定期限内完成咨询服务内容的相关工作并提交《月度碳排放数据质量合规诊断结果表》《季度碳市场分析报告及约交易建议》、培训相关资料、取得年度全国碳市场《履约完成证明》。</w:t>
      </w:r>
    </w:p>
    <w:p w14:paraId="2308D538">
      <w:pPr>
        <w:shd w:val="clear" w:color="auto" w:fill="FFFFFF"/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SystemFonts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FiNTIyNzY5OWRjNzAyZmMwMTk4YmM1ZmYzNGZjODMifQ=="/>
  </w:docVars>
  <w:rsids>
    <w:rsidRoot w:val="09AA5A48"/>
    <w:rsid w:val="002D299E"/>
    <w:rsid w:val="006C49E1"/>
    <w:rsid w:val="007E70E2"/>
    <w:rsid w:val="00A620CC"/>
    <w:rsid w:val="00AB47FA"/>
    <w:rsid w:val="00C57E25"/>
    <w:rsid w:val="059D4454"/>
    <w:rsid w:val="09AA5A48"/>
    <w:rsid w:val="0AF04964"/>
    <w:rsid w:val="0F1F590A"/>
    <w:rsid w:val="19BF181E"/>
    <w:rsid w:val="264E42E3"/>
    <w:rsid w:val="274E2EFE"/>
    <w:rsid w:val="28426CCA"/>
    <w:rsid w:val="2B0551C9"/>
    <w:rsid w:val="394D145F"/>
    <w:rsid w:val="3B405EF9"/>
    <w:rsid w:val="3E7E7982"/>
    <w:rsid w:val="40FF016D"/>
    <w:rsid w:val="52416A03"/>
    <w:rsid w:val="5AD05C62"/>
    <w:rsid w:val="5FF60E33"/>
    <w:rsid w:val="67A4101F"/>
    <w:rsid w:val="6A681D47"/>
    <w:rsid w:val="7B1A2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kern w:val="0"/>
      <w:sz w:val="24"/>
      <w:szCs w:val="20"/>
    </w:rPr>
  </w:style>
  <w:style w:type="paragraph" w:styleId="3">
    <w:name w:val="Balloon Text"/>
    <w:basedOn w:val="1"/>
    <w:qFormat/>
    <w:uiPriority w:val="0"/>
    <w:rPr>
      <w:sz w:val="18"/>
      <w:szCs w:val="18"/>
    </w:rPr>
  </w:style>
  <w:style w:type="character" w:styleId="6">
    <w:name w:val="FollowedHyperlink"/>
    <w:basedOn w:val="5"/>
    <w:qFormat/>
    <w:uiPriority w:val="0"/>
    <w:rPr>
      <w:color w:val="296FBE"/>
      <w:u w:val="single"/>
    </w:rPr>
  </w:style>
  <w:style w:type="character" w:styleId="7">
    <w:name w:val="Hyperlink"/>
    <w:basedOn w:val="5"/>
    <w:qFormat/>
    <w:uiPriority w:val="0"/>
    <w:rPr>
      <w:color w:val="296FBE"/>
      <w:u w:val="single"/>
    </w:rPr>
  </w:style>
  <w:style w:type="character" w:customStyle="1" w:styleId="8">
    <w:name w:val="w32"/>
    <w:basedOn w:val="5"/>
    <w:qFormat/>
    <w:uiPriority w:val="0"/>
  </w:style>
  <w:style w:type="character" w:customStyle="1" w:styleId="9">
    <w:name w:val="pagechatarealistclose_box"/>
    <w:basedOn w:val="5"/>
    <w:qFormat/>
    <w:uiPriority w:val="0"/>
  </w:style>
  <w:style w:type="character" w:customStyle="1" w:styleId="10">
    <w:name w:val="pagechatarealistclose_box1"/>
    <w:basedOn w:val="5"/>
    <w:qFormat/>
    <w:uiPriority w:val="0"/>
  </w:style>
  <w:style w:type="character" w:customStyle="1" w:styleId="11">
    <w:name w:val="ico1654"/>
    <w:basedOn w:val="5"/>
    <w:qFormat/>
    <w:uiPriority w:val="0"/>
  </w:style>
  <w:style w:type="character" w:customStyle="1" w:styleId="12">
    <w:name w:val="ico1655"/>
    <w:basedOn w:val="5"/>
    <w:qFormat/>
    <w:uiPriority w:val="0"/>
  </w:style>
  <w:style w:type="character" w:customStyle="1" w:styleId="13">
    <w:name w:val="cdropright"/>
    <w:basedOn w:val="5"/>
    <w:qFormat/>
    <w:uiPriority w:val="0"/>
  </w:style>
  <w:style w:type="character" w:customStyle="1" w:styleId="14">
    <w:name w:val="browse_class&gt;label"/>
    <w:basedOn w:val="5"/>
    <w:qFormat/>
    <w:uiPriority w:val="0"/>
    <w:rPr>
      <w:shd w:val="clear" w:color="auto" w:fill="F8F8F8"/>
    </w:rPr>
  </w:style>
  <w:style w:type="character" w:customStyle="1" w:styleId="15">
    <w:name w:val="design_class"/>
    <w:basedOn w:val="5"/>
    <w:qFormat/>
    <w:uiPriority w:val="0"/>
  </w:style>
  <w:style w:type="character" w:customStyle="1" w:styleId="16">
    <w:name w:val="browse_class&gt;span"/>
    <w:basedOn w:val="5"/>
    <w:qFormat/>
    <w:uiPriority w:val="0"/>
    <w:rPr>
      <w:shd w:val="clear" w:color="auto" w:fill="F8F8F8"/>
    </w:rPr>
  </w:style>
  <w:style w:type="character" w:customStyle="1" w:styleId="17">
    <w:name w:val="edit_class"/>
    <w:basedOn w:val="5"/>
    <w:qFormat/>
    <w:uiPriority w:val="0"/>
  </w:style>
  <w:style w:type="character" w:customStyle="1" w:styleId="18">
    <w:name w:val="token-input-delete-token"/>
    <w:basedOn w:val="5"/>
    <w:qFormat/>
    <w:uiPriority w:val="0"/>
    <w:rPr>
      <w:color w:val="FFFFFF"/>
    </w:rPr>
  </w:style>
  <w:style w:type="character" w:customStyle="1" w:styleId="19">
    <w:name w:val="button2"/>
    <w:basedOn w:val="5"/>
    <w:qFormat/>
    <w:uiPriority w:val="0"/>
  </w:style>
  <w:style w:type="character" w:customStyle="1" w:styleId="20">
    <w:name w:val="tmpztreemove_arrow"/>
    <w:basedOn w:val="5"/>
    <w:qFormat/>
    <w:uiPriority w:val="0"/>
  </w:style>
  <w:style w:type="character" w:customStyle="1" w:styleId="21">
    <w:name w:val="drapbtn"/>
    <w:basedOn w:val="5"/>
    <w:qFormat/>
    <w:uiPriority w:val="0"/>
  </w:style>
  <w:style w:type="character" w:customStyle="1" w:styleId="22">
    <w:name w:val="cdropleft"/>
    <w:basedOn w:val="5"/>
    <w:qFormat/>
    <w:uiPriority w:val="0"/>
  </w:style>
  <w:style w:type="character" w:customStyle="1" w:styleId="23">
    <w:name w:val="hilite6"/>
    <w:basedOn w:val="5"/>
    <w:qFormat/>
    <w:uiPriority w:val="0"/>
    <w:rPr>
      <w:color w:val="FFFFFF"/>
      <w:shd w:val="clear" w:color="auto" w:fill="666677"/>
    </w:rPr>
  </w:style>
  <w:style w:type="character" w:customStyle="1" w:styleId="24">
    <w:name w:val="active12"/>
    <w:basedOn w:val="5"/>
    <w:qFormat/>
    <w:uiPriority w:val="0"/>
    <w:rPr>
      <w:color w:val="00FF00"/>
      <w:shd w:val="clear" w:color="auto" w:fill="111111"/>
    </w:rPr>
  </w:style>
  <w:style w:type="character" w:customStyle="1" w:styleId="25">
    <w:name w:val="cy"/>
    <w:basedOn w:val="5"/>
    <w:qFormat/>
    <w:uiPriority w:val="0"/>
  </w:style>
  <w:style w:type="character" w:customStyle="1" w:styleId="26">
    <w:name w:val="xdrichtextbox2"/>
    <w:basedOn w:val="5"/>
    <w:qFormat/>
    <w:uiPriority w:val="0"/>
  </w:style>
  <w:style w:type="character" w:customStyle="1" w:styleId="27">
    <w:name w:val="biggerthanmax"/>
    <w:basedOn w:val="5"/>
    <w:qFormat/>
    <w:uiPriority w:val="0"/>
    <w:rPr>
      <w:shd w:val="clear" w:color="auto" w:fill="FFFF00"/>
    </w:rPr>
  </w:style>
  <w:style w:type="character" w:customStyle="1" w:styleId="28">
    <w:name w:val="browse_class&gt;input"/>
    <w:basedOn w:val="5"/>
    <w:qFormat/>
    <w:uiPriority w:val="0"/>
    <w:rPr>
      <w:shd w:val="clear" w:color="auto" w:fill="F8F8F8"/>
    </w:rPr>
  </w:style>
  <w:style w:type="paragraph" w:customStyle="1" w:styleId="29">
    <w:name w:val="5文章(治)"/>
    <w:basedOn w:val="1"/>
    <w:qFormat/>
    <w:uiPriority w:val="0"/>
    <w:pPr>
      <w:spacing w:line="360" w:lineRule="auto"/>
      <w:ind w:firstLine="560" w:firstLineChars="200"/>
    </w:pPr>
    <w:rPr>
      <w:rFonts w:ascii="Times New Roman" w:hAnsi="Times New Roman" w:eastAsia="宋体" w:cs="Times New Roman"/>
      <w:sz w:val="24"/>
      <w:szCs w:val="20"/>
    </w:rPr>
  </w:style>
  <w:style w:type="paragraph" w:customStyle="1" w:styleId="30">
    <w:name w:val="报告-正文"/>
    <w:qFormat/>
    <w:uiPriority w:val="3"/>
    <w:pPr>
      <w:spacing w:line="360" w:lineRule="auto"/>
      <w:ind w:firstLine="480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825</Words>
  <Characters>843</Characters>
  <Lines>5</Lines>
  <Paragraphs>1</Paragraphs>
  <TotalTime>3</TotalTime>
  <ScaleCrop>false</ScaleCrop>
  <LinksUpToDate>false</LinksUpToDate>
  <CharactersWithSpaces>844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2023-07-13T08:29:00Z</dcterms:created>
  <dc:creator>郭陆坚</dc:creator>
  <cp:lastModifiedBy>薛冰凌</cp:lastModifiedBy>
  <dcterms:modified xsi:type="dcterms:W3CDTF">2026-05-09T01:25:23Z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7DFA95055D6F482C8C3193AE8646C1A2_13</vt:lpwstr>
  </property>
  <property fmtid="{D5CDD505-2E9C-101B-9397-08002B2CF9AE}" pid="4" name="KSOTemplateDocerSaveRecord">
    <vt:lpwstr>eyJoZGlkIjoiYWFkOWI2NDBiM2UyNzU5YTQ0M2YzZjhlOGIzZTY2N2EiLCJ1c2VySWQiOiIyMDU0Mjg2NDUifQ==</vt:lpwstr>
  </property>
</Properties>
</file>