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DB399">
      <w:pPr>
        <w:jc w:val="center"/>
        <w:rPr>
          <w:b/>
          <w:sz w:val="52"/>
          <w:szCs w:val="52"/>
        </w:rPr>
      </w:pPr>
    </w:p>
    <w:p w14:paraId="789228E6">
      <w:pPr>
        <w:jc w:val="center"/>
        <w:rPr>
          <w:b/>
          <w:sz w:val="52"/>
          <w:szCs w:val="52"/>
        </w:rPr>
      </w:pPr>
    </w:p>
    <w:p w14:paraId="2BD16E65">
      <w:pPr>
        <w:rPr>
          <w:b/>
          <w:sz w:val="52"/>
          <w:szCs w:val="52"/>
        </w:rPr>
      </w:pPr>
    </w:p>
    <w:p w14:paraId="58F7C620">
      <w:pPr>
        <w:jc w:val="center"/>
        <w:rPr>
          <w:b/>
          <w:sz w:val="52"/>
          <w:szCs w:val="52"/>
        </w:rPr>
      </w:pPr>
      <w:r>
        <w:rPr>
          <w:rFonts w:hint="eastAsia"/>
          <w:b/>
          <w:sz w:val="52"/>
          <w:szCs w:val="52"/>
        </w:rPr>
        <w:t>福建省东南电化公司</w:t>
      </w:r>
    </w:p>
    <w:p w14:paraId="31B57846">
      <w:pPr>
        <w:jc w:val="center"/>
        <w:rPr>
          <w:rFonts w:hint="eastAsia" w:ascii="宋体" w:hAnsi="宋体"/>
          <w:b/>
          <w:bCs/>
          <w:spacing w:val="30"/>
          <w:sz w:val="52"/>
          <w:szCs w:val="52"/>
          <w:lang w:val="en-US" w:eastAsia="zh-CN"/>
        </w:rPr>
      </w:pPr>
      <w:r>
        <w:rPr>
          <w:rFonts w:hint="eastAsia" w:ascii="宋体" w:hAnsi="宋体"/>
          <w:b/>
          <w:bCs/>
          <w:spacing w:val="30"/>
          <w:sz w:val="52"/>
          <w:szCs w:val="52"/>
          <w:lang w:val="en-US" w:eastAsia="zh-CN"/>
        </w:rPr>
        <w:t>质量流量计分析仪表</w:t>
      </w:r>
    </w:p>
    <w:p w14:paraId="6DDAAAA2">
      <w:pPr>
        <w:jc w:val="center"/>
        <w:rPr>
          <w:rFonts w:hint="eastAsia" w:ascii="宋体" w:hAnsi="宋体" w:eastAsia="宋体"/>
          <w:b/>
          <w:bCs/>
          <w:spacing w:val="30"/>
          <w:sz w:val="52"/>
          <w:szCs w:val="52"/>
          <w:lang w:eastAsia="zh-CN"/>
        </w:rPr>
      </w:pPr>
      <w:r>
        <w:rPr>
          <w:rFonts w:hint="eastAsia" w:ascii="宋体" w:hAnsi="宋体"/>
          <w:b/>
          <w:bCs/>
          <w:spacing w:val="30"/>
          <w:sz w:val="52"/>
          <w:szCs w:val="52"/>
          <w:lang w:val="en-US" w:eastAsia="zh-CN"/>
        </w:rPr>
        <w:t>采购项目</w:t>
      </w:r>
    </w:p>
    <w:p w14:paraId="657414DD">
      <w:pPr>
        <w:rPr>
          <w:rFonts w:hint="eastAsia" w:ascii="宋体" w:hAnsi="宋体"/>
          <w:b/>
          <w:bCs/>
          <w:spacing w:val="30"/>
          <w:sz w:val="52"/>
          <w:szCs w:val="52"/>
        </w:rPr>
      </w:pPr>
    </w:p>
    <w:p w14:paraId="336F929F">
      <w:pPr>
        <w:jc w:val="center"/>
        <w:rPr>
          <w:rFonts w:hint="eastAsia" w:ascii="宋体" w:hAnsi="宋体"/>
          <w:b/>
          <w:bCs/>
          <w:spacing w:val="30"/>
          <w:sz w:val="52"/>
          <w:szCs w:val="52"/>
          <w:highlight w:val="none"/>
        </w:rPr>
      </w:pPr>
      <w:r>
        <w:rPr>
          <w:rFonts w:hint="eastAsia" w:ascii="宋体" w:hAnsi="宋体"/>
          <w:b/>
          <w:bCs/>
          <w:spacing w:val="30"/>
          <w:sz w:val="52"/>
          <w:szCs w:val="52"/>
          <w:highlight w:val="none"/>
        </w:rPr>
        <w:t>技</w:t>
      </w:r>
    </w:p>
    <w:p w14:paraId="13BD2B4A">
      <w:pPr>
        <w:jc w:val="center"/>
        <w:rPr>
          <w:rFonts w:hint="eastAsia" w:ascii="宋体" w:hAnsi="宋体"/>
          <w:b/>
          <w:bCs/>
          <w:spacing w:val="30"/>
          <w:sz w:val="52"/>
          <w:szCs w:val="52"/>
          <w:highlight w:val="none"/>
        </w:rPr>
      </w:pPr>
      <w:r>
        <w:rPr>
          <w:rFonts w:hint="eastAsia" w:ascii="宋体" w:hAnsi="宋体"/>
          <w:b/>
          <w:bCs/>
          <w:spacing w:val="30"/>
          <w:sz w:val="52"/>
          <w:szCs w:val="52"/>
          <w:highlight w:val="none"/>
        </w:rPr>
        <w:t>术</w:t>
      </w:r>
    </w:p>
    <w:p w14:paraId="3EECB086">
      <w:pPr>
        <w:jc w:val="center"/>
        <w:rPr>
          <w:rFonts w:hint="eastAsia" w:ascii="宋体" w:hAnsi="宋体"/>
          <w:b/>
          <w:bCs/>
          <w:spacing w:val="30"/>
          <w:sz w:val="52"/>
          <w:szCs w:val="52"/>
          <w:highlight w:val="none"/>
        </w:rPr>
      </w:pPr>
      <w:r>
        <w:rPr>
          <w:rFonts w:hint="eastAsia" w:ascii="宋体" w:hAnsi="宋体"/>
          <w:b/>
          <w:bCs/>
          <w:spacing w:val="30"/>
          <w:sz w:val="52"/>
          <w:szCs w:val="52"/>
          <w:highlight w:val="none"/>
        </w:rPr>
        <w:t>规</w:t>
      </w:r>
    </w:p>
    <w:p w14:paraId="12B484AB">
      <w:pPr>
        <w:jc w:val="center"/>
        <w:rPr>
          <w:rFonts w:hint="eastAsia" w:ascii="宋体" w:hAnsi="宋体"/>
          <w:b/>
          <w:bCs/>
          <w:spacing w:val="30"/>
          <w:sz w:val="52"/>
          <w:szCs w:val="52"/>
          <w:highlight w:val="none"/>
        </w:rPr>
      </w:pPr>
      <w:r>
        <w:rPr>
          <w:rFonts w:hint="eastAsia" w:ascii="宋体" w:hAnsi="宋体"/>
          <w:b/>
          <w:bCs/>
          <w:spacing w:val="30"/>
          <w:sz w:val="52"/>
          <w:szCs w:val="52"/>
          <w:highlight w:val="none"/>
        </w:rPr>
        <w:t>格</w:t>
      </w:r>
    </w:p>
    <w:p w14:paraId="1A0C1033">
      <w:pPr>
        <w:jc w:val="center"/>
        <w:rPr>
          <w:rFonts w:hint="eastAsia" w:ascii="宋体" w:hAnsi="宋体" w:cs="宋体"/>
          <w:b/>
          <w:sz w:val="52"/>
          <w:szCs w:val="52"/>
          <w:highlight w:val="none"/>
        </w:rPr>
      </w:pPr>
      <w:r>
        <w:rPr>
          <w:rFonts w:hint="eastAsia" w:ascii="宋体" w:hAnsi="宋体"/>
          <w:b/>
          <w:bCs/>
          <w:spacing w:val="30"/>
          <w:sz w:val="52"/>
          <w:szCs w:val="52"/>
          <w:highlight w:val="none"/>
        </w:rPr>
        <w:t>书</w:t>
      </w:r>
    </w:p>
    <w:p w14:paraId="55BD5E49">
      <w:pPr>
        <w:tabs>
          <w:tab w:val="left" w:pos="6105"/>
        </w:tabs>
        <w:ind w:firstLine="351" w:firstLineChars="97"/>
        <w:rPr>
          <w:rFonts w:hint="eastAsia" w:ascii="宋体" w:hAnsi="宋体" w:cs="宋体"/>
          <w:b/>
          <w:sz w:val="36"/>
          <w:szCs w:val="36"/>
        </w:rPr>
      </w:pPr>
    </w:p>
    <w:p w14:paraId="670FDD5E">
      <w:pPr>
        <w:tabs>
          <w:tab w:val="left" w:pos="6105"/>
        </w:tabs>
        <w:ind w:firstLine="351" w:firstLineChars="97"/>
        <w:rPr>
          <w:rFonts w:hint="eastAsia" w:ascii="宋体" w:hAnsi="宋体" w:cs="宋体"/>
          <w:b/>
          <w:sz w:val="36"/>
          <w:szCs w:val="36"/>
        </w:rPr>
      </w:pPr>
    </w:p>
    <w:p w14:paraId="681DB3E8">
      <w:pPr>
        <w:tabs>
          <w:tab w:val="left" w:pos="6105"/>
        </w:tabs>
        <w:ind w:firstLine="351" w:firstLineChars="97"/>
        <w:rPr>
          <w:rFonts w:hint="eastAsia" w:ascii="宋体" w:hAnsi="宋体" w:cs="宋体"/>
          <w:b/>
          <w:sz w:val="36"/>
          <w:szCs w:val="36"/>
        </w:rPr>
      </w:pPr>
    </w:p>
    <w:p w14:paraId="6B18A7E3">
      <w:pPr>
        <w:tabs>
          <w:tab w:val="left" w:pos="6105"/>
        </w:tabs>
        <w:ind w:firstLine="351" w:firstLineChars="97"/>
        <w:rPr>
          <w:rFonts w:hint="eastAsia" w:ascii="宋体" w:hAnsi="宋体" w:cs="宋体"/>
          <w:b/>
          <w:sz w:val="36"/>
          <w:szCs w:val="36"/>
        </w:rPr>
      </w:pPr>
    </w:p>
    <w:p w14:paraId="47A9B7D3">
      <w:pPr>
        <w:tabs>
          <w:tab w:val="left" w:pos="6105"/>
        </w:tabs>
        <w:ind w:firstLine="351" w:firstLineChars="97"/>
        <w:rPr>
          <w:rFonts w:hint="eastAsia" w:ascii="宋体" w:hAnsi="宋体" w:cs="宋体"/>
          <w:b/>
          <w:sz w:val="36"/>
          <w:szCs w:val="36"/>
        </w:rPr>
      </w:pPr>
    </w:p>
    <w:p w14:paraId="37ECF557">
      <w:pPr>
        <w:tabs>
          <w:tab w:val="left" w:pos="6105"/>
        </w:tabs>
        <w:jc w:val="center"/>
        <w:rPr>
          <w:rFonts w:hint="eastAsia" w:ascii="宋体" w:hAnsi="宋体" w:cs="宋体"/>
          <w:b/>
          <w:sz w:val="44"/>
          <w:szCs w:val="44"/>
        </w:rPr>
      </w:pPr>
    </w:p>
    <w:p w14:paraId="4FA2FF64">
      <w:pPr>
        <w:tabs>
          <w:tab w:val="left" w:pos="6105"/>
        </w:tabs>
        <w:jc w:val="center"/>
        <w:rPr>
          <w:rFonts w:hint="eastAsia" w:ascii="宋体" w:hAnsi="宋体" w:cs="宋体"/>
          <w:b/>
          <w:sz w:val="44"/>
          <w:szCs w:val="44"/>
        </w:rPr>
      </w:pPr>
    </w:p>
    <w:p w14:paraId="1B718937">
      <w:pPr>
        <w:tabs>
          <w:tab w:val="left" w:pos="6105"/>
        </w:tabs>
        <w:jc w:val="center"/>
        <w:rPr>
          <w:rFonts w:hint="eastAsia" w:ascii="宋体" w:hAnsi="宋体" w:cs="宋体"/>
          <w:b/>
          <w:sz w:val="44"/>
          <w:szCs w:val="44"/>
        </w:rPr>
      </w:pPr>
      <w:r>
        <w:rPr>
          <w:rFonts w:hint="eastAsia" w:ascii="宋体" w:hAnsi="宋体" w:cs="宋体"/>
          <w:b/>
          <w:sz w:val="44"/>
          <w:szCs w:val="44"/>
        </w:rPr>
        <w:t>福建省东南电化公司</w:t>
      </w:r>
    </w:p>
    <w:p w14:paraId="1CACE42F">
      <w:pPr>
        <w:tabs>
          <w:tab w:val="left" w:pos="6105"/>
        </w:tabs>
        <w:jc w:val="center"/>
        <w:rPr>
          <w:rFonts w:hint="eastAsia" w:ascii="宋体" w:hAnsi="宋体" w:cs="宋体"/>
          <w:b/>
          <w:sz w:val="44"/>
          <w:szCs w:val="44"/>
        </w:rPr>
      </w:pPr>
      <w:r>
        <w:rPr>
          <w:rFonts w:hint="eastAsia" w:ascii="宋体" w:hAnsi="宋体" w:cs="宋体"/>
          <w:b/>
          <w:sz w:val="44"/>
          <w:szCs w:val="44"/>
        </w:rPr>
        <w:t>202</w:t>
      </w:r>
      <w:r>
        <w:rPr>
          <w:rFonts w:hint="eastAsia" w:ascii="宋体" w:hAnsi="宋体" w:cs="宋体"/>
          <w:b/>
          <w:sz w:val="44"/>
          <w:szCs w:val="44"/>
          <w:lang w:val="en-US" w:eastAsia="zh-CN"/>
        </w:rPr>
        <w:t>6</w:t>
      </w:r>
      <w:r>
        <w:rPr>
          <w:rFonts w:hint="eastAsia" w:ascii="宋体" w:hAnsi="宋体" w:cs="宋体"/>
          <w:b/>
          <w:sz w:val="44"/>
          <w:szCs w:val="44"/>
        </w:rPr>
        <w:t>年</w:t>
      </w:r>
      <w:r>
        <w:rPr>
          <w:rFonts w:hint="eastAsia" w:ascii="宋体" w:hAnsi="宋体" w:cs="宋体"/>
          <w:b/>
          <w:sz w:val="44"/>
          <w:szCs w:val="44"/>
          <w:lang w:val="en-US" w:eastAsia="zh-CN"/>
        </w:rPr>
        <w:t>4</w:t>
      </w:r>
      <w:r>
        <w:rPr>
          <w:rFonts w:hint="eastAsia" w:ascii="宋体" w:hAnsi="宋体" w:cs="宋体"/>
          <w:b/>
          <w:sz w:val="44"/>
          <w:szCs w:val="44"/>
        </w:rPr>
        <w:t>月</w:t>
      </w:r>
    </w:p>
    <w:p w14:paraId="6A77B49C">
      <w:pPr>
        <w:tabs>
          <w:tab w:val="left" w:pos="6105"/>
        </w:tabs>
        <w:rPr>
          <w:rFonts w:hint="eastAsia" w:ascii="宋体" w:hAnsi="宋体" w:cs="宋体"/>
          <w:b/>
          <w:sz w:val="28"/>
          <w:szCs w:val="28"/>
        </w:rPr>
      </w:pPr>
    </w:p>
    <w:p w14:paraId="5CF941E3">
      <w:pPr>
        <w:rPr>
          <w:rFonts w:hint="eastAsia" w:ascii="宋体" w:hAnsi="宋体" w:cs="宋体"/>
          <w:b/>
          <w:bCs/>
          <w:sz w:val="28"/>
          <w:szCs w:val="28"/>
        </w:rPr>
      </w:pPr>
    </w:p>
    <w:p w14:paraId="597015DC">
      <w:pPr>
        <w:rPr>
          <w:rFonts w:hint="eastAsia" w:ascii="宋体" w:hAnsi="宋体" w:cs="宋体"/>
          <w:b/>
          <w:bCs/>
          <w:sz w:val="28"/>
          <w:szCs w:val="28"/>
        </w:rPr>
      </w:pPr>
    </w:p>
    <w:p w14:paraId="7AB3369D">
      <w:pPr>
        <w:rPr>
          <w:rFonts w:hint="eastAsia" w:ascii="宋体" w:hAnsi="宋体" w:cs="宋体"/>
          <w:b/>
          <w:bCs/>
          <w:sz w:val="28"/>
          <w:szCs w:val="28"/>
        </w:rPr>
      </w:pPr>
    </w:p>
    <w:p w14:paraId="5E9F9954">
      <w:pPr>
        <w:rPr>
          <w:rFonts w:hint="eastAsia" w:ascii="宋体" w:hAnsi="宋体" w:cs="宋体"/>
          <w:b/>
          <w:bCs/>
          <w:sz w:val="28"/>
          <w:szCs w:val="28"/>
        </w:rPr>
      </w:pPr>
    </w:p>
    <w:p w14:paraId="2F1F007B">
      <w:pPr>
        <w:rPr>
          <w:rFonts w:hint="eastAsia" w:ascii="宋体" w:hAnsi="宋体" w:cs="宋体"/>
          <w:b/>
          <w:bCs/>
          <w:sz w:val="28"/>
          <w:szCs w:val="28"/>
        </w:rPr>
      </w:pPr>
    </w:p>
    <w:p w14:paraId="59B41952">
      <w:pPr>
        <w:spacing w:line="360" w:lineRule="auto"/>
        <w:rPr>
          <w:rFonts w:hint="eastAsia" w:ascii="宋体" w:hAnsi="宋体" w:cs="宋体"/>
          <w:b/>
          <w:bCs/>
          <w:sz w:val="28"/>
          <w:szCs w:val="28"/>
        </w:rPr>
        <w:sectPr>
          <w:pgSz w:w="11906" w:h="16838"/>
          <w:pgMar w:top="1440" w:right="1077" w:bottom="714" w:left="1077" w:header="284" w:footer="680" w:gutter="0"/>
          <w:cols w:space="720" w:num="1"/>
          <w:docGrid w:linePitch="312" w:charSpace="0"/>
        </w:sectPr>
      </w:pPr>
    </w:p>
    <w:p w14:paraId="6AC640BC">
      <w:pPr>
        <w:keepNext w:val="0"/>
        <w:keepLines w:val="0"/>
        <w:pageBreakBefore w:val="0"/>
        <w:widowControl w:val="0"/>
        <w:kinsoku/>
        <w:wordWrap/>
        <w:overflowPunct/>
        <w:topLinePunct w:val="0"/>
        <w:autoSpaceDE/>
        <w:autoSpaceDN/>
        <w:bidi w:val="0"/>
        <w:adjustRightInd/>
        <w:snapToGrid/>
        <w:spacing w:line="480" w:lineRule="auto"/>
        <w:ind w:left="-17" w:leftChars="-8" w:firstLine="18" w:firstLineChars="6"/>
        <w:jc w:val="center"/>
        <w:textAlignment w:val="auto"/>
        <w:rPr>
          <w:rFonts w:eastAsia="宋体"/>
          <w:sz w:val="30"/>
          <w:szCs w:val="30"/>
          <w:highlight w:val="none"/>
        </w:rPr>
      </w:pPr>
      <w:r>
        <w:rPr>
          <w:rFonts w:hint="eastAsia" w:eastAsia="宋体"/>
          <w:sz w:val="30"/>
          <w:szCs w:val="30"/>
          <w:highlight w:val="none"/>
        </w:rPr>
        <w:t>目   录</w:t>
      </w:r>
    </w:p>
    <w:p w14:paraId="38EC6D1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17" w:leftChars="-8" w:firstLine="17" w:firstLineChars="6"/>
        <w:jc w:val="left"/>
        <w:textAlignment w:val="auto"/>
        <w:rPr>
          <w:rFonts w:eastAsia="宋体"/>
          <w:b/>
          <w:bCs/>
          <w:sz w:val="28"/>
          <w:szCs w:val="28"/>
          <w:highlight w:val="none"/>
        </w:rPr>
      </w:pPr>
      <w:r>
        <w:rPr>
          <w:rFonts w:hint="eastAsia" w:cs="Times New Roman"/>
          <w:b/>
          <w:bCs/>
          <w:kern w:val="2"/>
          <w:sz w:val="28"/>
          <w:szCs w:val="28"/>
          <w:lang w:val="en-US" w:eastAsia="zh-CN" w:bidi="ar-SA"/>
        </w:rPr>
        <w:t>一</w:t>
      </w:r>
      <w:r>
        <w:rPr>
          <w:rFonts w:hint="default" w:ascii="Times New Roman" w:hAnsi="Times New Roman" w:eastAsia="宋体" w:cs="Times New Roman"/>
          <w:b/>
          <w:bCs/>
          <w:kern w:val="2"/>
          <w:sz w:val="28"/>
          <w:szCs w:val="28"/>
          <w:lang w:val="en-US" w:eastAsia="zh-CN" w:bidi="ar-SA"/>
        </w:rPr>
        <w:t>、</w:t>
      </w:r>
      <w:r>
        <w:rPr>
          <w:rFonts w:hint="eastAsia" w:eastAsia="宋体"/>
          <w:b/>
          <w:bCs/>
          <w:sz w:val="28"/>
          <w:szCs w:val="28"/>
          <w:highlight w:val="none"/>
        </w:rPr>
        <w:t>总则</w:t>
      </w:r>
    </w:p>
    <w:p w14:paraId="461ACD8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17" w:leftChars="-8" w:firstLine="17" w:firstLineChars="6"/>
        <w:textAlignment w:val="auto"/>
        <w:rPr>
          <w:rFonts w:eastAsia="宋体"/>
          <w:b/>
          <w:bCs/>
          <w:sz w:val="28"/>
          <w:szCs w:val="28"/>
          <w:highlight w:val="none"/>
        </w:rPr>
      </w:pPr>
      <w:r>
        <w:rPr>
          <w:rFonts w:hint="eastAsia" w:cs="Times New Roman"/>
          <w:b/>
          <w:bCs/>
          <w:kern w:val="2"/>
          <w:sz w:val="28"/>
          <w:szCs w:val="28"/>
          <w:lang w:val="en-US" w:eastAsia="zh-CN" w:bidi="ar-SA"/>
        </w:rPr>
        <w:t>二</w:t>
      </w:r>
      <w:r>
        <w:rPr>
          <w:rFonts w:hint="default" w:ascii="Times New Roman" w:hAnsi="Times New Roman" w:eastAsia="宋体" w:cs="Times New Roman"/>
          <w:b/>
          <w:bCs/>
          <w:kern w:val="2"/>
          <w:sz w:val="28"/>
          <w:szCs w:val="28"/>
          <w:lang w:val="en-US" w:eastAsia="zh-CN" w:bidi="ar-SA"/>
        </w:rPr>
        <w:t>、</w:t>
      </w:r>
      <w:r>
        <w:rPr>
          <w:rFonts w:hint="eastAsia" w:eastAsia="宋体"/>
          <w:b/>
          <w:bCs/>
          <w:sz w:val="28"/>
          <w:szCs w:val="28"/>
          <w:highlight w:val="none"/>
        </w:rPr>
        <w:t>技术要求</w:t>
      </w:r>
    </w:p>
    <w:p w14:paraId="5B3EB7E4">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17" w:leftChars="-8" w:firstLine="17" w:firstLineChars="6"/>
        <w:jc w:val="left"/>
        <w:textAlignment w:val="auto"/>
        <w:rPr>
          <w:rFonts w:eastAsia="宋体"/>
          <w:b/>
          <w:bCs/>
          <w:sz w:val="28"/>
          <w:szCs w:val="28"/>
          <w:highlight w:val="none"/>
        </w:rPr>
      </w:pPr>
      <w:r>
        <w:rPr>
          <w:rFonts w:hint="eastAsia" w:cs="Times New Roman"/>
          <w:b/>
          <w:bCs/>
          <w:kern w:val="2"/>
          <w:sz w:val="28"/>
          <w:szCs w:val="28"/>
          <w:lang w:val="en-US" w:eastAsia="zh-CN" w:bidi="ar-SA"/>
        </w:rPr>
        <w:t>三</w:t>
      </w:r>
      <w:r>
        <w:rPr>
          <w:rFonts w:hint="default" w:ascii="Times New Roman" w:hAnsi="Times New Roman" w:eastAsia="宋体" w:cs="Times New Roman"/>
          <w:b/>
          <w:bCs/>
          <w:kern w:val="2"/>
          <w:sz w:val="28"/>
          <w:szCs w:val="28"/>
          <w:lang w:val="en-US" w:eastAsia="zh-CN" w:bidi="ar-SA"/>
        </w:rPr>
        <w:t>、</w:t>
      </w:r>
      <w:r>
        <w:rPr>
          <w:rFonts w:hint="eastAsia" w:eastAsia="宋体"/>
          <w:b/>
          <w:bCs/>
          <w:sz w:val="28"/>
          <w:szCs w:val="28"/>
          <w:highlight w:val="none"/>
        </w:rPr>
        <w:t>工程技术</w:t>
      </w:r>
      <w:r>
        <w:rPr>
          <w:rFonts w:hint="eastAsia" w:eastAsia="宋体"/>
          <w:b/>
          <w:bCs/>
          <w:sz w:val="28"/>
          <w:szCs w:val="28"/>
          <w:highlight w:val="none"/>
          <w:lang w:val="en-US" w:eastAsia="zh-CN"/>
        </w:rPr>
        <w:t>与售后</w:t>
      </w:r>
      <w:r>
        <w:rPr>
          <w:rFonts w:hint="eastAsia" w:eastAsia="宋体"/>
          <w:b/>
          <w:bCs/>
          <w:sz w:val="28"/>
          <w:szCs w:val="28"/>
          <w:highlight w:val="none"/>
        </w:rPr>
        <w:t>服务</w:t>
      </w:r>
    </w:p>
    <w:p w14:paraId="38E3A6D7">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17" w:leftChars="-8" w:firstLine="17" w:firstLineChars="6"/>
        <w:jc w:val="left"/>
        <w:textAlignment w:val="auto"/>
        <w:rPr>
          <w:rFonts w:eastAsia="宋体"/>
          <w:b/>
          <w:bCs/>
          <w:sz w:val="28"/>
          <w:szCs w:val="28"/>
          <w:highlight w:val="none"/>
        </w:rPr>
      </w:pPr>
      <w:r>
        <w:rPr>
          <w:rFonts w:hint="eastAsia" w:cs="Times New Roman"/>
          <w:b/>
          <w:bCs/>
          <w:kern w:val="2"/>
          <w:sz w:val="28"/>
          <w:szCs w:val="28"/>
          <w:lang w:val="en-US" w:eastAsia="zh-CN" w:bidi="ar-SA"/>
        </w:rPr>
        <w:t>四</w:t>
      </w:r>
      <w:r>
        <w:rPr>
          <w:rFonts w:hint="default" w:ascii="Times New Roman" w:hAnsi="Times New Roman" w:eastAsia="宋体" w:cs="Times New Roman"/>
          <w:b/>
          <w:bCs/>
          <w:kern w:val="2"/>
          <w:sz w:val="28"/>
          <w:szCs w:val="28"/>
          <w:lang w:val="en-US" w:eastAsia="zh-CN" w:bidi="ar-SA"/>
        </w:rPr>
        <w:t>、</w:t>
      </w:r>
      <w:r>
        <w:rPr>
          <w:rFonts w:hint="eastAsia" w:eastAsia="宋体"/>
          <w:b/>
          <w:bCs/>
          <w:sz w:val="28"/>
          <w:szCs w:val="28"/>
          <w:highlight w:val="none"/>
        </w:rPr>
        <w:t>供货范围</w:t>
      </w:r>
    </w:p>
    <w:p w14:paraId="5642A1C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17" w:leftChars="-8" w:firstLine="17" w:firstLineChars="6"/>
        <w:jc w:val="left"/>
        <w:textAlignment w:val="auto"/>
        <w:rPr>
          <w:rFonts w:eastAsia="宋体"/>
          <w:b/>
          <w:bCs/>
          <w:sz w:val="28"/>
          <w:szCs w:val="28"/>
          <w:highlight w:val="none"/>
        </w:rPr>
      </w:pPr>
      <w:r>
        <w:rPr>
          <w:rFonts w:hint="eastAsia" w:cs="Times New Roman"/>
          <w:b/>
          <w:bCs/>
          <w:kern w:val="2"/>
          <w:sz w:val="28"/>
          <w:szCs w:val="28"/>
          <w:lang w:val="en-US" w:eastAsia="zh-CN" w:bidi="ar-SA"/>
        </w:rPr>
        <w:t>五</w:t>
      </w:r>
      <w:r>
        <w:rPr>
          <w:rFonts w:hint="default" w:ascii="Times New Roman" w:hAnsi="Times New Roman" w:eastAsia="宋体" w:cs="Times New Roman"/>
          <w:b/>
          <w:bCs/>
          <w:kern w:val="2"/>
          <w:sz w:val="28"/>
          <w:szCs w:val="28"/>
          <w:lang w:val="en-US" w:eastAsia="zh-CN" w:bidi="ar-SA"/>
        </w:rPr>
        <w:t>、</w:t>
      </w:r>
      <w:r>
        <w:rPr>
          <w:rFonts w:hint="eastAsia" w:eastAsia="宋体"/>
          <w:b/>
          <w:bCs/>
          <w:sz w:val="28"/>
          <w:szCs w:val="28"/>
          <w:highlight w:val="none"/>
        </w:rPr>
        <w:t>交货期</w:t>
      </w:r>
    </w:p>
    <w:p w14:paraId="709211E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17" w:leftChars="-8" w:firstLine="17" w:firstLineChars="6"/>
        <w:jc w:val="left"/>
        <w:textAlignment w:val="auto"/>
        <w:rPr>
          <w:rFonts w:eastAsia="宋体"/>
          <w:b/>
          <w:bCs/>
          <w:sz w:val="28"/>
          <w:szCs w:val="28"/>
          <w:highlight w:val="none"/>
        </w:rPr>
      </w:pPr>
      <w:r>
        <w:rPr>
          <w:rFonts w:hint="eastAsia" w:cs="Times New Roman"/>
          <w:b/>
          <w:bCs/>
          <w:kern w:val="2"/>
          <w:sz w:val="28"/>
          <w:szCs w:val="28"/>
          <w:lang w:val="en-US" w:eastAsia="zh-CN" w:bidi="ar-SA"/>
        </w:rPr>
        <w:t>六</w:t>
      </w:r>
      <w:r>
        <w:rPr>
          <w:rFonts w:hint="default" w:ascii="Times New Roman" w:hAnsi="Times New Roman" w:eastAsia="宋体" w:cs="Times New Roman"/>
          <w:b/>
          <w:bCs/>
          <w:kern w:val="2"/>
          <w:sz w:val="28"/>
          <w:szCs w:val="28"/>
          <w:lang w:val="en-US" w:eastAsia="zh-CN" w:bidi="ar-SA"/>
        </w:rPr>
        <w:t>、</w:t>
      </w:r>
      <w:r>
        <w:rPr>
          <w:rFonts w:hint="eastAsia" w:eastAsia="宋体"/>
          <w:b/>
          <w:bCs/>
          <w:sz w:val="28"/>
          <w:szCs w:val="28"/>
          <w:highlight w:val="none"/>
          <w:lang w:val="en-US" w:eastAsia="zh-CN"/>
        </w:rPr>
        <w:t>验收标准</w:t>
      </w:r>
    </w:p>
    <w:p w14:paraId="649ED4E8">
      <w:pPr>
        <w:spacing w:line="360" w:lineRule="auto"/>
        <w:rPr>
          <w:rFonts w:hint="eastAsia" w:ascii="宋体" w:hAnsi="宋体" w:cs="宋体"/>
          <w:b/>
          <w:bCs/>
          <w:sz w:val="28"/>
          <w:szCs w:val="28"/>
        </w:rPr>
        <w:sectPr>
          <w:pgSz w:w="11906" w:h="16838"/>
          <w:pgMar w:top="1440" w:right="1077" w:bottom="714" w:left="1077" w:header="284" w:footer="680" w:gutter="0"/>
          <w:cols w:space="720" w:num="1"/>
          <w:docGrid w:linePitch="312" w:charSpace="0"/>
        </w:sectPr>
      </w:pPr>
    </w:p>
    <w:p w14:paraId="2AA02C2D">
      <w:pPr>
        <w:keepNext w:val="0"/>
        <w:keepLines w:val="0"/>
        <w:pageBreakBefore w:val="0"/>
        <w:widowControl w:val="0"/>
        <w:kinsoku/>
        <w:wordWrap/>
        <w:overflowPunct/>
        <w:topLinePunct w:val="0"/>
        <w:autoSpaceDE/>
        <w:autoSpaceDN/>
        <w:bidi w:val="0"/>
        <w:adjustRightInd/>
        <w:snapToGrid/>
        <w:spacing w:line="360" w:lineRule="auto"/>
        <w:ind w:left="-4" w:leftChars="-2"/>
        <w:textAlignment w:val="auto"/>
        <w:rPr>
          <w:rFonts w:ascii="宋体" w:hAnsi="宋体" w:cs="宋体"/>
          <w:b/>
          <w:sz w:val="28"/>
          <w:szCs w:val="28"/>
          <w:highlight w:val="none"/>
        </w:rPr>
      </w:pPr>
      <w:r>
        <w:rPr>
          <w:rFonts w:hint="eastAsia" w:ascii="宋体" w:hAnsi="宋体" w:cs="宋体"/>
          <w:b/>
          <w:sz w:val="28"/>
          <w:szCs w:val="28"/>
          <w:highlight w:val="none"/>
          <w:lang w:val="en-US" w:eastAsia="zh-CN"/>
        </w:rPr>
        <w:t>一</w:t>
      </w:r>
      <w:r>
        <w:rPr>
          <w:rFonts w:hint="eastAsia" w:ascii="宋体" w:hAnsi="宋体" w:cs="宋体"/>
          <w:b/>
          <w:sz w:val="28"/>
          <w:szCs w:val="28"/>
          <w:highlight w:val="none"/>
        </w:rPr>
        <w:t>、总则</w:t>
      </w:r>
    </w:p>
    <w:p w14:paraId="724FEFBF">
      <w:pPr>
        <w:keepNext w:val="0"/>
        <w:keepLines w:val="0"/>
        <w:pageBreakBefore w:val="0"/>
        <w:widowControl w:val="0"/>
        <w:kinsoku/>
        <w:wordWrap/>
        <w:overflowPunct/>
        <w:topLinePunct w:val="0"/>
        <w:autoSpaceDE/>
        <w:autoSpaceDN/>
        <w:bidi w:val="0"/>
        <w:adjustRightInd/>
        <w:snapToGrid/>
        <w:spacing w:line="360" w:lineRule="auto"/>
        <w:ind w:left="-17" w:leftChars="-8" w:firstLine="14" w:firstLineChars="6"/>
        <w:textAlignment w:val="auto"/>
        <w:rPr>
          <w:sz w:val="24"/>
          <w:highlight w:val="none"/>
        </w:rPr>
      </w:pPr>
      <w:r>
        <w:rPr>
          <w:rFonts w:hint="eastAsia"/>
          <w:sz w:val="24"/>
          <w:highlight w:val="none"/>
        </w:rPr>
        <w:t>本技术规格书适用于福建省东南电化股份有限公司</w:t>
      </w:r>
      <w:r>
        <w:rPr>
          <w:rFonts w:hint="eastAsia"/>
          <w:sz w:val="24"/>
          <w:highlight w:val="none"/>
          <w:lang w:val="en-US" w:eastAsia="zh-CN"/>
        </w:rPr>
        <w:t>质量流量计分析仪表采购项目</w:t>
      </w:r>
      <w:r>
        <w:rPr>
          <w:rFonts w:hint="eastAsia"/>
          <w:sz w:val="24"/>
          <w:highlight w:val="none"/>
        </w:rPr>
        <w:t>的设计文件和技术要求。</w:t>
      </w:r>
    </w:p>
    <w:p w14:paraId="1430F752">
      <w:pPr>
        <w:keepNext w:val="0"/>
        <w:keepLines w:val="0"/>
        <w:pageBreakBefore w:val="0"/>
        <w:widowControl w:val="0"/>
        <w:kinsoku/>
        <w:wordWrap/>
        <w:overflowPunct/>
        <w:topLinePunct w:val="0"/>
        <w:autoSpaceDE/>
        <w:autoSpaceDN/>
        <w:bidi w:val="0"/>
        <w:adjustRightInd/>
        <w:snapToGrid/>
        <w:spacing w:line="360" w:lineRule="auto"/>
        <w:ind w:left="-17" w:leftChars="-8" w:firstLine="14" w:firstLineChars="6"/>
        <w:textAlignment w:val="auto"/>
        <w:rPr>
          <w:sz w:val="24"/>
          <w:highlight w:val="none"/>
        </w:rPr>
      </w:pPr>
      <w:r>
        <w:rPr>
          <w:rFonts w:hint="eastAsia"/>
          <w:sz w:val="24"/>
          <w:highlight w:val="none"/>
        </w:rPr>
        <w:t>1.1 本规格书提出的是最低限度的技术要求，并未规定所有的技术要求和适用标准，投标方应提供一套满足本规范和所列标准要求的高质量产品及相应服务，</w:t>
      </w:r>
      <w:r>
        <w:rPr>
          <w:rFonts w:hAnsi="宋体"/>
          <w:sz w:val="24"/>
          <w:highlight w:val="none"/>
        </w:rPr>
        <w:t>技术规格书和数据表中的任何疏漏不应成为供货商提供不合格产品的借口。</w:t>
      </w:r>
      <w:r>
        <w:rPr>
          <w:rFonts w:hint="eastAsia"/>
          <w:sz w:val="24"/>
          <w:highlight w:val="none"/>
        </w:rPr>
        <w:t>所提供的产品应是技术上成熟先进的产品；所有的产品必须是全新的，招标方不接受修复的产品；所有产品不得转包或贴牌。</w:t>
      </w:r>
    </w:p>
    <w:p w14:paraId="77E9A771">
      <w:pPr>
        <w:keepNext w:val="0"/>
        <w:keepLines w:val="0"/>
        <w:pageBreakBefore w:val="0"/>
        <w:widowControl w:val="0"/>
        <w:kinsoku/>
        <w:wordWrap/>
        <w:overflowPunct/>
        <w:topLinePunct w:val="0"/>
        <w:autoSpaceDE/>
        <w:autoSpaceDN/>
        <w:bidi w:val="0"/>
        <w:adjustRightInd/>
        <w:snapToGrid/>
        <w:spacing w:line="360" w:lineRule="auto"/>
        <w:ind w:left="-17" w:leftChars="-8" w:firstLine="14" w:firstLineChars="6"/>
        <w:textAlignment w:val="auto"/>
        <w:rPr>
          <w:color w:val="FF0000"/>
          <w:sz w:val="24"/>
          <w:highlight w:val="none"/>
        </w:rPr>
      </w:pPr>
      <w:r>
        <w:rPr>
          <w:rFonts w:hint="eastAsia"/>
          <w:sz w:val="24"/>
          <w:highlight w:val="none"/>
        </w:rPr>
        <w:t>1.2 如果投标方未以书面形式对本规格书提出异议，则意味着投标方提供的在线分析仪满足了本规格书和有关工业标准的要求。如有异议，不管多么微小，都应在投标书中以“技术偏离表”为标题的专门章节中加以详细表明。</w:t>
      </w:r>
    </w:p>
    <w:p w14:paraId="49B218F1">
      <w:pPr>
        <w:keepNext w:val="0"/>
        <w:keepLines w:val="0"/>
        <w:pageBreakBefore w:val="0"/>
        <w:widowControl w:val="0"/>
        <w:kinsoku/>
        <w:wordWrap/>
        <w:overflowPunct/>
        <w:topLinePunct w:val="0"/>
        <w:autoSpaceDE/>
        <w:autoSpaceDN/>
        <w:bidi w:val="0"/>
        <w:adjustRightInd/>
        <w:snapToGrid/>
        <w:spacing w:line="360" w:lineRule="auto"/>
        <w:ind w:left="-17" w:leftChars="-8" w:firstLine="14" w:firstLineChars="6"/>
        <w:textAlignment w:val="auto"/>
        <w:rPr>
          <w:sz w:val="24"/>
          <w:highlight w:val="none"/>
        </w:rPr>
      </w:pPr>
      <w:r>
        <w:rPr>
          <w:rFonts w:hint="eastAsia"/>
          <w:sz w:val="24"/>
          <w:highlight w:val="none"/>
        </w:rPr>
        <w:t>1.3 本规格书所使用的标准如遇与投标方所执行的标准发生矛盾时，按较高标准执行。对国家有关安全、环保等强制性标准，必须满足其要求</w:t>
      </w:r>
      <w:r>
        <w:rPr>
          <w:sz w:val="24"/>
          <w:highlight w:val="none"/>
        </w:rPr>
        <w:t>，选型错误由</w:t>
      </w:r>
      <w:r>
        <w:rPr>
          <w:rFonts w:hint="eastAsia"/>
          <w:sz w:val="24"/>
          <w:highlight w:val="none"/>
        </w:rPr>
        <w:t>投标</w:t>
      </w:r>
      <w:r>
        <w:rPr>
          <w:sz w:val="24"/>
          <w:highlight w:val="none"/>
        </w:rPr>
        <w:t>方负责</w:t>
      </w:r>
      <w:r>
        <w:rPr>
          <w:rFonts w:hint="eastAsia"/>
          <w:sz w:val="24"/>
          <w:highlight w:val="none"/>
        </w:rPr>
        <w:t>。</w:t>
      </w:r>
    </w:p>
    <w:p w14:paraId="448D2CE9">
      <w:pPr>
        <w:keepNext w:val="0"/>
        <w:keepLines w:val="0"/>
        <w:pageBreakBefore w:val="0"/>
        <w:widowControl w:val="0"/>
        <w:kinsoku/>
        <w:wordWrap/>
        <w:overflowPunct/>
        <w:topLinePunct w:val="0"/>
        <w:autoSpaceDE/>
        <w:autoSpaceDN/>
        <w:bidi w:val="0"/>
        <w:adjustRightInd/>
        <w:snapToGrid/>
        <w:spacing w:line="360" w:lineRule="auto"/>
        <w:ind w:left="-17" w:leftChars="-8" w:firstLine="14" w:firstLineChars="6"/>
        <w:textAlignment w:val="auto"/>
        <w:rPr>
          <w:sz w:val="24"/>
          <w:highlight w:val="none"/>
        </w:rPr>
      </w:pPr>
      <w:r>
        <w:rPr>
          <w:rFonts w:hint="eastAsia"/>
          <w:sz w:val="24"/>
          <w:highlight w:val="none"/>
        </w:rPr>
        <w:t>1.4 只有招标方有权修改本规格书。经买卖双方协商，最终确定的技术协议应作为合同的一个附件，并与合同文件有相同的法律效力。</w:t>
      </w:r>
    </w:p>
    <w:p w14:paraId="335F39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1.5 在签订合同后，招标方有权提出因标准、规范和规程发生变化而产生的一些修订要求，具体事宜由双发共同协商确定。</w:t>
      </w:r>
    </w:p>
    <w:p w14:paraId="44C3EC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bookmarkStart w:id="0" w:name="_Toc201831307"/>
      <w:r>
        <w:rPr>
          <w:rFonts w:hint="eastAsia"/>
          <w:sz w:val="24"/>
          <w:highlight w:val="none"/>
          <w:lang w:val="en-US" w:eastAsia="zh-CN"/>
        </w:rPr>
        <w:t xml:space="preserve">1.6 </w:t>
      </w:r>
      <w:r>
        <w:rPr>
          <w:rFonts w:hint="eastAsia"/>
          <w:sz w:val="24"/>
          <w:highlight w:val="none"/>
        </w:rPr>
        <w:t>执行标准规范</w:t>
      </w:r>
      <w:bookmarkEnd w:id="0"/>
    </w:p>
    <w:p w14:paraId="5233FD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lang w:val="en-US" w:eastAsia="zh-CN"/>
        </w:rPr>
        <w:t>分析仪表</w:t>
      </w:r>
      <w:r>
        <w:rPr>
          <w:rFonts w:hint="eastAsia"/>
          <w:sz w:val="24"/>
          <w:highlight w:val="none"/>
        </w:rPr>
        <w:t>的设计、设备选择、制作安装及调试过程，有关的技术文件和图纸遵循下列标准和规范，所有规范若有更新以最新版本为执行版本。</w:t>
      </w:r>
    </w:p>
    <w:tbl>
      <w:tblPr>
        <w:tblStyle w:val="8"/>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6026"/>
      </w:tblGrid>
      <w:tr w14:paraId="214E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134845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GB/T 50093</w:t>
            </w:r>
          </w:p>
        </w:tc>
        <w:tc>
          <w:tcPr>
            <w:tcW w:w="6026" w:type="dxa"/>
            <w:vAlign w:val="center"/>
          </w:tcPr>
          <w:p w14:paraId="0CD4CD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《自动化仪表工程施工及质量验收规范》</w:t>
            </w:r>
          </w:p>
        </w:tc>
      </w:tr>
      <w:tr w14:paraId="15A3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3D382C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GB/T 50770</w:t>
            </w:r>
          </w:p>
        </w:tc>
        <w:tc>
          <w:tcPr>
            <w:tcW w:w="6026" w:type="dxa"/>
            <w:vAlign w:val="center"/>
          </w:tcPr>
          <w:p w14:paraId="1B7D56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《石油化工安全仪表系统设计规范》</w:t>
            </w:r>
          </w:p>
        </w:tc>
      </w:tr>
      <w:tr w14:paraId="2D2B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656F30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GB/T 50493</w:t>
            </w:r>
          </w:p>
        </w:tc>
        <w:tc>
          <w:tcPr>
            <w:tcW w:w="6026" w:type="dxa"/>
            <w:vAlign w:val="center"/>
          </w:tcPr>
          <w:p w14:paraId="3F25BD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《石油化工可燃气体和有毒气体检测报警设计标准》</w:t>
            </w:r>
          </w:p>
        </w:tc>
      </w:tr>
      <w:tr w14:paraId="7418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58D859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3006</w:t>
            </w:r>
          </w:p>
        </w:tc>
        <w:tc>
          <w:tcPr>
            <w:tcW w:w="6026" w:type="dxa"/>
            <w:vAlign w:val="center"/>
          </w:tcPr>
          <w:p w14:paraId="40436D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《石油化工企业控制室和自动分析器室设计规范》</w:t>
            </w:r>
          </w:p>
        </w:tc>
      </w:tr>
      <w:tr w14:paraId="6197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1CBC12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3019</w:t>
            </w:r>
          </w:p>
        </w:tc>
        <w:tc>
          <w:tcPr>
            <w:tcW w:w="6026" w:type="dxa"/>
            <w:vAlign w:val="center"/>
          </w:tcPr>
          <w:p w14:paraId="4483A3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《石油化工仪表管道线路设计规范》</w:t>
            </w:r>
          </w:p>
        </w:tc>
      </w:tr>
      <w:tr w14:paraId="1F8A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78FC15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3020</w:t>
            </w:r>
          </w:p>
        </w:tc>
        <w:tc>
          <w:tcPr>
            <w:tcW w:w="6026" w:type="dxa"/>
            <w:vAlign w:val="center"/>
          </w:tcPr>
          <w:p w14:paraId="303B4C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《石油化工仪表供气设计规范》</w:t>
            </w:r>
          </w:p>
        </w:tc>
      </w:tr>
      <w:tr w14:paraId="1695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79B411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3081</w:t>
            </w:r>
          </w:p>
        </w:tc>
        <w:tc>
          <w:tcPr>
            <w:tcW w:w="6026" w:type="dxa"/>
            <w:vAlign w:val="center"/>
          </w:tcPr>
          <w:p w14:paraId="2353FD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《石油化工仪表接地设计规范》</w:t>
            </w:r>
          </w:p>
        </w:tc>
      </w:tr>
      <w:tr w14:paraId="1AE2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240C19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3082</w:t>
            </w:r>
          </w:p>
        </w:tc>
        <w:tc>
          <w:tcPr>
            <w:tcW w:w="6026" w:type="dxa"/>
            <w:vAlign w:val="center"/>
          </w:tcPr>
          <w:p w14:paraId="6D1272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《石油化工仪表供电设计规范》</w:t>
            </w:r>
          </w:p>
        </w:tc>
      </w:tr>
      <w:tr w14:paraId="05C3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506C2D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3104</w:t>
            </w:r>
          </w:p>
        </w:tc>
        <w:tc>
          <w:tcPr>
            <w:tcW w:w="6026" w:type="dxa"/>
            <w:vAlign w:val="center"/>
          </w:tcPr>
          <w:p w14:paraId="6CC5FA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《石油化工仪表安装设计规范》</w:t>
            </w:r>
          </w:p>
        </w:tc>
      </w:tr>
      <w:tr w14:paraId="57F2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vAlign w:val="center"/>
          </w:tcPr>
          <w:p w14:paraId="1F9E79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SH/T 3126</w:t>
            </w:r>
          </w:p>
        </w:tc>
        <w:tc>
          <w:tcPr>
            <w:tcW w:w="6026" w:type="dxa"/>
            <w:vAlign w:val="center"/>
          </w:tcPr>
          <w:p w14:paraId="0A1C70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r>
              <w:rPr>
                <w:rFonts w:hint="eastAsia"/>
                <w:sz w:val="24"/>
                <w:highlight w:val="none"/>
              </w:rPr>
              <w:t>《石油化工仪表及管道伴热和隔热设计规范》</w:t>
            </w:r>
          </w:p>
        </w:tc>
      </w:tr>
    </w:tbl>
    <w:p w14:paraId="465A19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highlight w:val="none"/>
        </w:rPr>
      </w:pPr>
    </w:p>
    <w:p w14:paraId="3EDCA2DA">
      <w:pPr>
        <w:keepNext w:val="0"/>
        <w:keepLines w:val="0"/>
        <w:pageBreakBefore w:val="0"/>
        <w:widowControl w:val="0"/>
        <w:tabs>
          <w:tab w:val="left" w:pos="0"/>
        </w:tabs>
        <w:kinsoku/>
        <w:wordWrap/>
        <w:overflowPunct/>
        <w:topLinePunct w:val="0"/>
        <w:autoSpaceDE/>
        <w:autoSpaceDN/>
        <w:bidi w:val="0"/>
        <w:adjustRightInd/>
        <w:snapToGrid/>
        <w:spacing w:line="360" w:lineRule="auto"/>
        <w:ind w:left="-5"/>
        <w:textAlignment w:val="auto"/>
        <w:rPr>
          <w:rFonts w:hint="eastAsia"/>
          <w:b/>
          <w:bCs/>
          <w:sz w:val="28"/>
          <w:szCs w:val="28"/>
          <w:highlight w:val="none"/>
        </w:rPr>
      </w:pPr>
      <w:r>
        <w:rPr>
          <w:rFonts w:hint="eastAsia"/>
          <w:b/>
          <w:bCs/>
          <w:sz w:val="28"/>
          <w:szCs w:val="28"/>
          <w:highlight w:val="none"/>
          <w:lang w:val="en-US" w:eastAsia="zh-CN"/>
        </w:rPr>
        <w:t>二、质量流量计</w:t>
      </w:r>
      <w:r>
        <w:rPr>
          <w:rFonts w:hint="eastAsia"/>
          <w:b/>
          <w:bCs/>
          <w:sz w:val="28"/>
          <w:szCs w:val="28"/>
          <w:highlight w:val="none"/>
        </w:rPr>
        <w:t>技术要求</w:t>
      </w:r>
    </w:p>
    <w:p w14:paraId="730BA6B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kern w:val="2"/>
          <w:sz w:val="24"/>
          <w:szCs w:val="24"/>
          <w:highlight w:val="none"/>
          <w:lang w:val="en-US" w:eastAsia="zh-CN" w:bidi="ar-SA"/>
        </w:rPr>
      </w:pPr>
      <w:r>
        <w:rPr>
          <w:rFonts w:hint="eastAsia" w:eastAsia="宋体" w:cs="Times New Roman"/>
          <w:kern w:val="2"/>
          <w:sz w:val="24"/>
          <w:szCs w:val="24"/>
          <w:highlight w:val="none"/>
          <w:lang w:val="en-US" w:eastAsia="zh-CN" w:bidi="ar-SA"/>
        </w:rPr>
        <w:t xml:space="preserve">2.1 </w:t>
      </w:r>
      <w:r>
        <w:rPr>
          <w:rFonts w:hint="eastAsia" w:ascii="Times New Roman" w:hAnsi="Times New Roman" w:eastAsia="宋体" w:cs="Times New Roman"/>
          <w:kern w:val="2"/>
          <w:sz w:val="24"/>
          <w:szCs w:val="24"/>
          <w:highlight w:val="none"/>
          <w:lang w:val="en-US" w:eastAsia="zh-CN" w:bidi="ar-SA"/>
        </w:rPr>
        <w:t>投标方应承担福建省东南电化公司</w:t>
      </w:r>
      <w:r>
        <w:rPr>
          <w:rFonts w:hint="eastAsia"/>
          <w:sz w:val="24"/>
          <w:highlight w:val="none"/>
          <w:lang w:val="en-US" w:eastAsia="zh-CN"/>
        </w:rPr>
        <w:t>质量流量计</w:t>
      </w:r>
      <w:r>
        <w:rPr>
          <w:rFonts w:hint="eastAsia" w:ascii="Times New Roman" w:hAnsi="Times New Roman" w:eastAsia="宋体" w:cs="Times New Roman"/>
          <w:kern w:val="2"/>
          <w:sz w:val="24"/>
          <w:szCs w:val="24"/>
          <w:highlight w:val="none"/>
          <w:lang w:val="en-US" w:eastAsia="zh-CN" w:bidi="ar-SA"/>
        </w:rPr>
        <w:t>的整机采购及</w:t>
      </w:r>
      <w:r>
        <w:rPr>
          <w:rFonts w:hint="eastAsia" w:cs="Times New Roman"/>
          <w:kern w:val="2"/>
          <w:sz w:val="24"/>
          <w:szCs w:val="24"/>
          <w:highlight w:val="none"/>
          <w:lang w:val="en-US" w:eastAsia="zh-CN" w:bidi="ar-SA"/>
        </w:rPr>
        <w:t>技术支持</w:t>
      </w:r>
      <w:r>
        <w:rPr>
          <w:rFonts w:hint="eastAsia" w:ascii="Times New Roman" w:hAnsi="Times New Roman" w:eastAsia="宋体" w:cs="Times New Roman"/>
          <w:kern w:val="2"/>
          <w:sz w:val="24"/>
          <w:szCs w:val="24"/>
          <w:highlight w:val="none"/>
          <w:lang w:val="en-US" w:eastAsia="zh-CN" w:bidi="ar-SA"/>
        </w:rPr>
        <w:t>等服务，确保分析仪表满足生产需求。</w:t>
      </w:r>
    </w:p>
    <w:p w14:paraId="7AD84CB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kern w:val="2"/>
          <w:sz w:val="24"/>
          <w:szCs w:val="24"/>
          <w:highlight w:val="none"/>
          <w:lang w:val="en-US" w:eastAsia="zh-CN" w:bidi="ar-SA"/>
        </w:rPr>
      </w:pPr>
      <w:r>
        <w:rPr>
          <w:rFonts w:hint="eastAsia" w:eastAsia="宋体" w:cs="Times New Roman"/>
          <w:kern w:val="2"/>
          <w:sz w:val="24"/>
          <w:szCs w:val="24"/>
          <w:highlight w:val="none"/>
          <w:lang w:val="en-US" w:eastAsia="zh-CN" w:bidi="ar-SA"/>
        </w:rPr>
        <w:t xml:space="preserve">2.2 </w:t>
      </w:r>
      <w:r>
        <w:rPr>
          <w:rFonts w:hint="eastAsia" w:ascii="Times New Roman" w:hAnsi="Times New Roman" w:eastAsia="宋体" w:cs="Times New Roman"/>
          <w:kern w:val="2"/>
          <w:sz w:val="24"/>
          <w:szCs w:val="24"/>
          <w:highlight w:val="none"/>
          <w:lang w:val="en-US" w:eastAsia="zh-CN" w:bidi="ar-SA"/>
        </w:rPr>
        <w:t>所有设备需符合本技术规格书规定的性能参数、材质标准、安全防护等级等要求，满足工业现场的工艺需求。</w:t>
      </w:r>
    </w:p>
    <w:p w14:paraId="0F61147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kern w:val="2"/>
          <w:sz w:val="24"/>
          <w:szCs w:val="24"/>
          <w:highlight w:val="none"/>
          <w:lang w:val="en-US" w:eastAsia="zh-CN" w:bidi="ar-SA"/>
        </w:rPr>
      </w:pPr>
      <w:r>
        <w:rPr>
          <w:rFonts w:hint="eastAsia" w:eastAsia="宋体" w:cs="Times New Roman"/>
          <w:kern w:val="2"/>
          <w:sz w:val="24"/>
          <w:szCs w:val="24"/>
          <w:highlight w:val="none"/>
          <w:lang w:val="en-US" w:eastAsia="zh-CN" w:bidi="ar-SA"/>
        </w:rPr>
        <w:t xml:space="preserve">2.3 </w:t>
      </w:r>
      <w:r>
        <w:rPr>
          <w:rFonts w:hint="eastAsia" w:ascii="Times New Roman" w:hAnsi="Times New Roman" w:eastAsia="宋体" w:cs="Times New Roman"/>
          <w:kern w:val="2"/>
          <w:sz w:val="24"/>
          <w:szCs w:val="24"/>
          <w:highlight w:val="none"/>
          <w:lang w:val="en-US" w:eastAsia="zh-CN" w:bidi="ar-SA"/>
        </w:rPr>
        <w:t>投标方应保证其提供的货物在正确安装、正常使用和保养条件下，在其使用寿命内具有良好的性能。投标方为东南电化公司提供的仪表在保修期内非人为损坏，投标方需为东南电化公司提供免费更换、维修。</w:t>
      </w:r>
    </w:p>
    <w:p w14:paraId="523E9B2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kern w:val="2"/>
          <w:sz w:val="24"/>
          <w:szCs w:val="24"/>
          <w:highlight w:val="none"/>
          <w:lang w:val="en-US" w:eastAsia="zh-CN" w:bidi="ar-SA"/>
        </w:rPr>
      </w:pPr>
      <w:r>
        <w:rPr>
          <w:rFonts w:hint="eastAsia" w:eastAsia="宋体" w:cs="Times New Roman"/>
          <w:kern w:val="2"/>
          <w:sz w:val="24"/>
          <w:szCs w:val="24"/>
          <w:highlight w:val="none"/>
          <w:lang w:val="en-US" w:eastAsia="zh-CN" w:bidi="ar-SA"/>
        </w:rPr>
        <w:t xml:space="preserve">2.4 </w:t>
      </w:r>
      <w:r>
        <w:rPr>
          <w:rFonts w:hint="eastAsia" w:ascii="Times New Roman" w:hAnsi="Times New Roman" w:eastAsia="宋体" w:cs="Times New Roman"/>
          <w:kern w:val="2"/>
          <w:sz w:val="24"/>
          <w:szCs w:val="24"/>
          <w:highlight w:val="none"/>
          <w:lang w:val="en-US" w:eastAsia="zh-CN" w:bidi="ar-SA"/>
        </w:rPr>
        <w:t>投标方所提供的主机产品必须是原厂原包装（含货物质量合格证书）产品。投标方应保证货物是全新、未使用过的原装合格正品，并完全符合合同规定的质量、规格和性能的要求。</w:t>
      </w:r>
    </w:p>
    <w:p w14:paraId="5F3F14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2.5 本项目招标仪表的全部技术要求，均需严格参照招标文件附件中的仪表数据表相关规定执行。</w:t>
      </w:r>
    </w:p>
    <w:p w14:paraId="367A2E8E">
      <w:pPr>
        <w:widowControl/>
        <w:numPr>
          <w:ilvl w:val="0"/>
          <w:numId w:val="0"/>
        </w:numPr>
        <w:jc w:val="left"/>
        <w:rPr>
          <w:rFonts w:hint="default" w:ascii="宋体" w:hAnsi="宋体" w:eastAsia="宋体" w:cs="宋体"/>
          <w:b/>
          <w:bCs/>
          <w:i w:val="0"/>
          <w:iCs w:val="0"/>
          <w:color w:val="000000"/>
          <w:kern w:val="0"/>
          <w:sz w:val="28"/>
          <w:szCs w:val="28"/>
          <w:u w:val="none"/>
          <w:lang w:val="en-US" w:eastAsia="zh-CN" w:bidi="ar"/>
        </w:rPr>
      </w:pPr>
      <w:r>
        <w:rPr>
          <w:rFonts w:hint="eastAsia" w:ascii="宋体" w:hAnsi="宋体" w:cs="宋体"/>
          <w:b/>
          <w:bCs/>
          <w:i w:val="0"/>
          <w:iCs w:val="0"/>
          <w:color w:val="000000"/>
          <w:kern w:val="0"/>
          <w:sz w:val="28"/>
          <w:szCs w:val="28"/>
          <w:u w:val="none"/>
          <w:lang w:val="en-US" w:eastAsia="zh-CN" w:bidi="ar"/>
        </w:rPr>
        <w:t>详细技术参数如下：</w:t>
      </w:r>
    </w:p>
    <w:p w14:paraId="2F9557FC">
      <w:pPr>
        <w:keepNext w:val="0"/>
        <w:keepLines w:val="0"/>
        <w:pageBreakBefore w:val="0"/>
        <w:numPr>
          <w:ilvl w:val="0"/>
          <w:numId w:val="0"/>
        </w:numPr>
        <w:kinsoku/>
        <w:wordWrap/>
        <w:overflowPunct/>
        <w:topLinePunct w:val="0"/>
        <w:bidi w:val="0"/>
        <w:adjustRightInd/>
        <w:snapToGrid/>
        <w:spacing w:line="360" w:lineRule="auto"/>
        <w:ind w:leftChars="-2"/>
        <w:rPr>
          <w:rFonts w:hint="default" w:ascii="宋体" w:hAnsi="宋体" w:cs="宋体"/>
          <w:b/>
          <w:bCs/>
          <w:i w:val="0"/>
          <w:iCs w:val="0"/>
          <w:color w:val="000000"/>
          <w:kern w:val="0"/>
          <w:sz w:val="28"/>
          <w:szCs w:val="28"/>
          <w:u w:val="none"/>
          <w:lang w:val="en-US" w:eastAsia="zh-CN" w:bidi="ar"/>
        </w:rPr>
      </w:pPr>
      <w:r>
        <w:rPr>
          <w:rFonts w:hint="eastAsia" w:ascii="宋体" w:hAnsi="宋体" w:cs="宋体"/>
          <w:b/>
          <w:bCs/>
          <w:i w:val="0"/>
          <w:iCs w:val="0"/>
          <w:color w:val="000000"/>
          <w:kern w:val="0"/>
          <w:sz w:val="28"/>
          <w:szCs w:val="28"/>
          <w:u w:val="none"/>
          <w:lang w:val="en-US" w:eastAsia="zh-CN" w:bidi="ar"/>
        </w:rPr>
        <w:t>1、仪表数据表</w:t>
      </w:r>
    </w:p>
    <w:tbl>
      <w:tblPr>
        <w:tblStyle w:val="8"/>
        <w:tblW w:w="101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6"/>
        <w:gridCol w:w="396"/>
        <w:gridCol w:w="670"/>
        <w:gridCol w:w="1176"/>
        <w:gridCol w:w="1762"/>
        <w:gridCol w:w="3097"/>
        <w:gridCol w:w="836"/>
        <w:gridCol w:w="837"/>
      </w:tblGrid>
      <w:tr w14:paraId="480D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0110" w:type="dxa"/>
            <w:gridSpan w:val="8"/>
            <w:tcBorders>
              <w:top w:val="single" w:color="000000" w:sz="8" w:space="0"/>
              <w:left w:val="single" w:color="000000" w:sz="8" w:space="0"/>
              <w:bottom w:val="single" w:color="000000" w:sz="4" w:space="0"/>
              <w:right w:val="single" w:color="000000" w:sz="8" w:space="0"/>
            </w:tcBorders>
            <w:shd w:val="clear" w:color="auto" w:fill="auto"/>
            <w:vAlign w:val="center"/>
          </w:tcPr>
          <w:p w14:paraId="0AC2091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45"/>
                <w:lang w:val="en-US" w:eastAsia="zh-CN" w:bidi="ar"/>
              </w:rPr>
              <w:t>质量流量计数据表</w:t>
            </w:r>
            <w:r>
              <w:rPr>
                <w:rStyle w:val="46"/>
                <w:rFonts w:eastAsia="宋体"/>
                <w:lang w:val="en-US" w:eastAsia="zh-CN" w:bidi="ar"/>
              </w:rPr>
              <w:t xml:space="preserve"> MASS FLOWMETER DATA SHEET</w:t>
            </w:r>
          </w:p>
        </w:tc>
      </w:tr>
      <w:tr w14:paraId="202B1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09BA64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概况</w:t>
            </w:r>
            <w:r>
              <w:rPr>
                <w:rStyle w:val="47"/>
                <w:lang w:val="en-US" w:eastAsia="zh-CN" w:bidi="ar"/>
              </w:rPr>
              <w:br w:type="textWrapping"/>
            </w:r>
            <w:r>
              <w:rPr>
                <w:rStyle w:val="48"/>
                <w:rFonts w:eastAsia="宋体"/>
                <w:lang w:val="en-US" w:eastAsia="zh-CN" w:bidi="ar"/>
              </w:rPr>
              <w:t>GENERAL</w:t>
            </w:r>
          </w:p>
        </w:tc>
        <w:tc>
          <w:tcPr>
            <w:tcW w:w="375" w:type="dxa"/>
            <w:tcBorders>
              <w:top w:val="nil"/>
              <w:left w:val="single" w:color="000000" w:sz="4" w:space="0"/>
              <w:bottom w:val="single" w:color="000000" w:sz="4" w:space="0"/>
              <w:right w:val="single" w:color="000000" w:sz="4" w:space="0"/>
            </w:tcBorders>
            <w:shd w:val="clear" w:color="auto" w:fill="auto"/>
            <w:vAlign w:val="center"/>
          </w:tcPr>
          <w:p w14:paraId="478BDC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0C3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位号</w:t>
            </w:r>
            <w:r>
              <w:rPr>
                <w:rStyle w:val="48"/>
                <w:rFonts w:eastAsia="宋体"/>
                <w:lang w:val="en-US" w:eastAsia="zh-CN" w:bidi="ar"/>
              </w:rPr>
              <w:t xml:space="preserve"> Tag Number</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6F1D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23FT-9010J</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CEB3F9">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A7F58AD">
            <w:pPr>
              <w:jc w:val="center"/>
              <w:rPr>
                <w:rFonts w:hint="eastAsia" w:ascii="宋体" w:hAnsi="宋体" w:eastAsia="宋体" w:cs="宋体"/>
                <w:i w:val="0"/>
                <w:iCs w:val="0"/>
                <w:color w:val="000000"/>
                <w:sz w:val="18"/>
                <w:szCs w:val="18"/>
                <w:u w:val="none"/>
              </w:rPr>
            </w:pPr>
          </w:p>
        </w:tc>
      </w:tr>
      <w:tr w14:paraId="2B1D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FCE5560">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F1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F01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用途</w:t>
            </w:r>
            <w:r>
              <w:rPr>
                <w:rStyle w:val="48"/>
                <w:rFonts w:eastAsia="宋体"/>
                <w:lang w:val="en-US" w:eastAsia="zh-CN" w:bidi="ar"/>
              </w:rPr>
              <w:t xml:space="preserve"> Service</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D80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w:t>
            </w:r>
            <w:r>
              <w:rPr>
                <w:rStyle w:val="47"/>
                <w:lang w:val="en-US" w:eastAsia="zh-CN" w:bidi="ar"/>
              </w:rPr>
              <w:t>碱出界区总管流量</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6E265">
            <w:pPr>
              <w:jc w:val="center"/>
              <w:rPr>
                <w:rFonts w:hint="eastAsia" w:ascii="宋体" w:hAnsi="宋体" w:eastAsia="宋体" w:cs="宋体"/>
                <w:i w:val="0"/>
                <w:iCs w:val="0"/>
                <w:color w:val="000000"/>
                <w:sz w:val="18"/>
                <w:szCs w:val="18"/>
                <w:u w:val="none"/>
              </w:rPr>
            </w:pPr>
          </w:p>
        </w:tc>
        <w:tc>
          <w:tcPr>
            <w:tcW w:w="1845"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46B9FBE6">
            <w:pPr>
              <w:jc w:val="center"/>
              <w:rPr>
                <w:rFonts w:hint="eastAsia" w:ascii="宋体" w:hAnsi="宋体" w:eastAsia="宋体" w:cs="宋体"/>
                <w:i w:val="0"/>
                <w:iCs w:val="0"/>
                <w:color w:val="000000"/>
                <w:sz w:val="18"/>
                <w:szCs w:val="18"/>
                <w:u w:val="none"/>
              </w:rPr>
            </w:pPr>
          </w:p>
        </w:tc>
      </w:tr>
      <w:tr w14:paraId="768DD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0667AFD">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84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464DD">
            <w:pPr>
              <w:rPr>
                <w:rFonts w:hint="default" w:ascii="Times New Roman" w:hAnsi="Times New Roman" w:eastAsia="宋体" w:cs="Times New Roman"/>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D21DF">
            <w:pPr>
              <w:jc w:val="center"/>
              <w:rPr>
                <w:rFonts w:hint="default" w:ascii="Times New Roman" w:hAnsi="Times New Roman" w:eastAsia="宋体" w:cs="Times New Roman"/>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773E">
            <w:pPr>
              <w:jc w:val="cente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36931338">
            <w:pPr>
              <w:jc w:val="center"/>
              <w:rPr>
                <w:rFonts w:hint="eastAsia" w:ascii="宋体" w:hAnsi="宋体" w:eastAsia="宋体" w:cs="宋体"/>
                <w:i w:val="0"/>
                <w:iCs w:val="0"/>
                <w:color w:val="000000"/>
                <w:sz w:val="18"/>
                <w:szCs w:val="18"/>
                <w:u w:val="none"/>
              </w:rPr>
            </w:pPr>
          </w:p>
        </w:tc>
      </w:tr>
      <w:tr w14:paraId="07E9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5CA88CB">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63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FDD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P&amp;ID</w:t>
            </w:r>
            <w:r>
              <w:rPr>
                <w:rStyle w:val="49"/>
                <w:rFonts w:eastAsia="宋体"/>
                <w:lang w:val="en-US" w:eastAsia="zh-CN" w:bidi="ar"/>
              </w:rPr>
              <w:t>号</w:t>
            </w:r>
            <w:r>
              <w:rPr>
                <w:rStyle w:val="48"/>
                <w:rFonts w:eastAsia="宋体"/>
                <w:lang w:val="en-US" w:eastAsia="zh-CN" w:bidi="ar"/>
              </w:rPr>
              <w:t xml:space="preserve"> P&amp;ID Number</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59C8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N25334-5-23-90-PS08-03</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C98BDC">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9B84393">
            <w:pPr>
              <w:jc w:val="center"/>
              <w:rPr>
                <w:rFonts w:hint="eastAsia" w:ascii="宋体" w:hAnsi="宋体" w:eastAsia="宋体" w:cs="宋体"/>
                <w:i w:val="0"/>
                <w:iCs w:val="0"/>
                <w:color w:val="000000"/>
                <w:sz w:val="18"/>
                <w:szCs w:val="18"/>
                <w:u w:val="none"/>
              </w:rPr>
            </w:pPr>
          </w:p>
        </w:tc>
      </w:tr>
      <w:tr w14:paraId="3E68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4EEE231">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80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34D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管道编号</w:t>
            </w:r>
            <w:r>
              <w:rPr>
                <w:rStyle w:val="48"/>
                <w:rFonts w:eastAsia="宋体"/>
                <w:lang w:val="en-US" w:eastAsia="zh-CN" w:bidi="ar"/>
              </w:rPr>
              <w:t>/</w:t>
            </w:r>
            <w:r>
              <w:rPr>
                <w:rStyle w:val="47"/>
                <w:lang w:val="en-US" w:eastAsia="zh-CN" w:bidi="ar"/>
              </w:rPr>
              <w:t>设备编号</w:t>
            </w:r>
            <w:r>
              <w:rPr>
                <w:rStyle w:val="48"/>
                <w:rFonts w:eastAsia="宋体"/>
                <w:lang w:val="en-US" w:eastAsia="zh-CN" w:bidi="ar"/>
              </w:rPr>
              <w:t xml:space="preserve"> Line No./Equipment No.</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DB53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CSM-239027-125-F1RF1-H1 </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40E15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6E573A0">
            <w:pPr>
              <w:jc w:val="center"/>
              <w:rPr>
                <w:rFonts w:hint="eastAsia" w:ascii="宋体" w:hAnsi="宋体" w:eastAsia="宋体" w:cs="宋体"/>
                <w:i w:val="0"/>
                <w:iCs w:val="0"/>
                <w:color w:val="000000"/>
                <w:sz w:val="18"/>
                <w:szCs w:val="18"/>
                <w:u w:val="none"/>
              </w:rPr>
            </w:pPr>
          </w:p>
        </w:tc>
      </w:tr>
      <w:tr w14:paraId="2B10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EBB9CD1">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71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317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管道规格</w:t>
            </w:r>
            <w:r>
              <w:rPr>
                <w:rStyle w:val="48"/>
                <w:rFonts w:eastAsia="宋体"/>
                <w:lang w:val="en-US" w:eastAsia="zh-CN" w:bidi="ar"/>
              </w:rPr>
              <w:t>(</w:t>
            </w:r>
            <w:r>
              <w:rPr>
                <w:rStyle w:val="47"/>
                <w:lang w:val="en-US" w:eastAsia="zh-CN" w:bidi="ar"/>
              </w:rPr>
              <w:t>外径</w:t>
            </w:r>
            <w:r>
              <w:rPr>
                <w:rStyle w:val="48"/>
                <w:rFonts w:eastAsia="宋体"/>
                <w:lang w:val="en-US" w:eastAsia="zh-CN" w:bidi="ar"/>
              </w:rPr>
              <w:t>×</w:t>
            </w:r>
            <w:r>
              <w:rPr>
                <w:rStyle w:val="47"/>
                <w:lang w:val="en-US" w:eastAsia="zh-CN" w:bidi="ar"/>
              </w:rPr>
              <w:t>壁厚</w:t>
            </w:r>
            <w:r>
              <w:rPr>
                <w:rStyle w:val="48"/>
                <w:rFonts w:eastAsia="宋体"/>
                <w:lang w:val="en-US" w:eastAsia="zh-CN" w:bidi="ar"/>
              </w:rPr>
              <w:t>) Pipe Size(OD×T) mm</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625D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DN125</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DF3640">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17058F9">
            <w:pPr>
              <w:jc w:val="center"/>
              <w:rPr>
                <w:rFonts w:hint="eastAsia" w:ascii="宋体" w:hAnsi="宋体" w:eastAsia="宋体" w:cs="宋体"/>
                <w:i w:val="0"/>
                <w:iCs w:val="0"/>
                <w:color w:val="000000"/>
                <w:sz w:val="18"/>
                <w:szCs w:val="18"/>
                <w:u w:val="none"/>
              </w:rPr>
            </w:pPr>
          </w:p>
        </w:tc>
      </w:tr>
      <w:tr w14:paraId="1DF3A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D42F720">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04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0B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管道材质</w:t>
            </w:r>
            <w:r>
              <w:rPr>
                <w:rStyle w:val="48"/>
                <w:rFonts w:eastAsia="宋体"/>
                <w:lang w:val="en-US" w:eastAsia="zh-CN" w:bidi="ar"/>
              </w:rPr>
              <w:t xml:space="preserve"> Pipe Material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F3E8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N6</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10A19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780FF6F">
            <w:pPr>
              <w:jc w:val="center"/>
              <w:rPr>
                <w:rFonts w:hint="eastAsia" w:ascii="宋体" w:hAnsi="宋体" w:eastAsia="宋体" w:cs="宋体"/>
                <w:i w:val="0"/>
                <w:iCs w:val="0"/>
                <w:color w:val="000000"/>
                <w:sz w:val="18"/>
                <w:szCs w:val="18"/>
                <w:u w:val="none"/>
              </w:rPr>
            </w:pPr>
          </w:p>
        </w:tc>
      </w:tr>
      <w:tr w14:paraId="3390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585F59F">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FC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138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环境温度</w:t>
            </w:r>
            <w:r>
              <w:rPr>
                <w:rStyle w:val="48"/>
                <w:rFonts w:eastAsia="宋体"/>
                <w:lang w:val="en-US" w:eastAsia="zh-CN" w:bidi="ar"/>
              </w:rPr>
              <w:t xml:space="preserve"> Ambient Temperature </w:t>
            </w:r>
            <w:r>
              <w:rPr>
                <w:rStyle w:val="47"/>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5D712B">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3C88F7">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267C06E1">
            <w:pPr>
              <w:jc w:val="center"/>
              <w:rPr>
                <w:rFonts w:hint="eastAsia" w:ascii="宋体" w:hAnsi="宋体" w:eastAsia="宋体" w:cs="宋体"/>
                <w:i w:val="0"/>
                <w:iCs w:val="0"/>
                <w:color w:val="000000"/>
                <w:sz w:val="18"/>
                <w:szCs w:val="18"/>
                <w:u w:val="none"/>
              </w:rPr>
            </w:pPr>
          </w:p>
        </w:tc>
      </w:tr>
      <w:tr w14:paraId="36EB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612653B">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D0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78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危险区域等级</w:t>
            </w:r>
            <w:r>
              <w:rPr>
                <w:rStyle w:val="48"/>
                <w:rFonts w:eastAsia="宋体"/>
                <w:lang w:val="en-US" w:eastAsia="zh-CN" w:bidi="ar"/>
              </w:rPr>
              <w:t xml:space="preserve"> Area Classification</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315F72">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1C71B6">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768F805">
            <w:pPr>
              <w:jc w:val="center"/>
              <w:rPr>
                <w:rFonts w:hint="eastAsia" w:ascii="宋体" w:hAnsi="宋体" w:eastAsia="宋体" w:cs="宋体"/>
                <w:i w:val="0"/>
                <w:iCs w:val="0"/>
                <w:color w:val="000000"/>
                <w:sz w:val="18"/>
                <w:szCs w:val="18"/>
                <w:u w:val="none"/>
              </w:rPr>
            </w:pPr>
          </w:p>
        </w:tc>
      </w:tr>
      <w:tr w14:paraId="2E88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423B6C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操作条件</w:t>
            </w:r>
            <w:r>
              <w:rPr>
                <w:rStyle w:val="47"/>
                <w:lang w:val="en-US" w:eastAsia="zh-CN" w:bidi="ar"/>
              </w:rPr>
              <w:br w:type="textWrapping"/>
            </w:r>
            <w:r>
              <w:rPr>
                <w:rStyle w:val="48"/>
                <w:rFonts w:eastAsia="宋体"/>
                <w:lang w:val="en-US" w:eastAsia="zh-CN" w:bidi="ar"/>
              </w:rPr>
              <w:t>PROCESS DATA</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CF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EE4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工艺介质</w:t>
            </w:r>
            <w:r>
              <w:rPr>
                <w:rStyle w:val="48"/>
                <w:rFonts w:eastAsia="宋体"/>
                <w:lang w:val="en-US" w:eastAsia="zh-CN" w:bidi="ar"/>
              </w:rPr>
              <w:t xml:space="preserve"> Process Fluid</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FC0A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50%NaOH</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1E7118">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19E5A3D">
            <w:pPr>
              <w:jc w:val="center"/>
              <w:rPr>
                <w:rFonts w:hint="eastAsia" w:ascii="宋体" w:hAnsi="宋体" w:eastAsia="宋体" w:cs="宋体"/>
                <w:i w:val="0"/>
                <w:iCs w:val="0"/>
                <w:color w:val="000000"/>
                <w:sz w:val="18"/>
                <w:szCs w:val="18"/>
                <w:u w:val="none"/>
              </w:rPr>
            </w:pPr>
          </w:p>
        </w:tc>
      </w:tr>
      <w:tr w14:paraId="66F3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5D333C6">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61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94A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介质状态</w:t>
            </w:r>
            <w:r>
              <w:rPr>
                <w:rStyle w:val="48"/>
                <w:rFonts w:eastAsia="宋体"/>
                <w:lang w:val="en-US" w:eastAsia="zh-CN" w:bidi="ar"/>
              </w:rPr>
              <w:t xml:space="preserve"> Fluid State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6A9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液体</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EC335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5FB9CB88">
            <w:pPr>
              <w:jc w:val="center"/>
              <w:rPr>
                <w:rFonts w:hint="eastAsia" w:ascii="宋体" w:hAnsi="宋体" w:eastAsia="宋体" w:cs="宋体"/>
                <w:i w:val="0"/>
                <w:iCs w:val="0"/>
                <w:color w:val="000000"/>
                <w:sz w:val="18"/>
                <w:szCs w:val="18"/>
                <w:u w:val="none"/>
              </w:rPr>
            </w:pPr>
          </w:p>
        </w:tc>
      </w:tr>
      <w:tr w14:paraId="5CE1A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194FAB0">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8D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E25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操作温度</w:t>
            </w:r>
            <w:r>
              <w:rPr>
                <w:rStyle w:val="48"/>
                <w:rFonts w:eastAsia="宋体"/>
                <w:lang w:val="en-US" w:eastAsia="zh-CN" w:bidi="ar"/>
              </w:rPr>
              <w:t xml:space="preserve"> Operation Temp. Nor./ Max. </w:t>
            </w:r>
            <w:r>
              <w:rPr>
                <w:rStyle w:val="47"/>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D460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14609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AFA8444">
            <w:pPr>
              <w:jc w:val="center"/>
              <w:rPr>
                <w:rFonts w:hint="eastAsia" w:ascii="宋体" w:hAnsi="宋体" w:eastAsia="宋体" w:cs="宋体"/>
                <w:i w:val="0"/>
                <w:iCs w:val="0"/>
                <w:color w:val="000000"/>
                <w:sz w:val="18"/>
                <w:szCs w:val="18"/>
                <w:u w:val="none"/>
              </w:rPr>
            </w:pPr>
          </w:p>
        </w:tc>
      </w:tr>
      <w:tr w14:paraId="3AB42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1F171C3">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23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DD2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操作压力</w:t>
            </w:r>
            <w:r>
              <w:rPr>
                <w:rStyle w:val="48"/>
                <w:rFonts w:eastAsia="宋体"/>
                <w:lang w:val="en-US" w:eastAsia="zh-CN" w:bidi="ar"/>
              </w:rPr>
              <w:t xml:space="preserve"> Operation Pres. Nor./ Max. Mpa(G)</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60E1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0.48</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B59EB1">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521ECC63">
            <w:pPr>
              <w:jc w:val="center"/>
              <w:rPr>
                <w:rFonts w:hint="eastAsia" w:ascii="宋体" w:hAnsi="宋体" w:eastAsia="宋体" w:cs="宋体"/>
                <w:i w:val="0"/>
                <w:iCs w:val="0"/>
                <w:color w:val="000000"/>
                <w:sz w:val="18"/>
                <w:szCs w:val="18"/>
                <w:u w:val="none"/>
              </w:rPr>
            </w:pPr>
          </w:p>
        </w:tc>
      </w:tr>
      <w:tr w14:paraId="03BAE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4E9C225">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D0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4C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设计温度</w:t>
            </w:r>
            <w:r>
              <w:rPr>
                <w:rStyle w:val="48"/>
                <w:rFonts w:eastAsia="宋体"/>
                <w:lang w:val="en-US" w:eastAsia="zh-CN" w:bidi="ar"/>
              </w:rPr>
              <w:t xml:space="preserve"> Design Temp. Nor./ Max. </w:t>
            </w:r>
            <w:r>
              <w:rPr>
                <w:rStyle w:val="47"/>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8BC2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DF0026">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2384914">
            <w:pPr>
              <w:jc w:val="center"/>
              <w:rPr>
                <w:rFonts w:hint="eastAsia" w:ascii="宋体" w:hAnsi="宋体" w:eastAsia="宋体" w:cs="宋体"/>
                <w:i w:val="0"/>
                <w:iCs w:val="0"/>
                <w:color w:val="000000"/>
                <w:sz w:val="18"/>
                <w:szCs w:val="18"/>
                <w:u w:val="none"/>
              </w:rPr>
            </w:pPr>
          </w:p>
        </w:tc>
      </w:tr>
      <w:tr w14:paraId="07896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4CAD627">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67D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5B1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设计压力</w:t>
            </w:r>
            <w:r>
              <w:rPr>
                <w:rStyle w:val="48"/>
                <w:rFonts w:eastAsia="宋体"/>
                <w:lang w:val="en-US" w:eastAsia="zh-CN" w:bidi="ar"/>
              </w:rPr>
              <w:t xml:space="preserve"> Design Pres. Nor./ Max. Mpa(G)</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04F5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8846DA">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4E705AA8">
            <w:pPr>
              <w:jc w:val="center"/>
              <w:rPr>
                <w:rFonts w:hint="eastAsia" w:ascii="宋体" w:hAnsi="宋体" w:eastAsia="宋体" w:cs="宋体"/>
                <w:i w:val="0"/>
                <w:iCs w:val="0"/>
                <w:color w:val="000000"/>
                <w:sz w:val="18"/>
                <w:szCs w:val="18"/>
                <w:u w:val="none"/>
              </w:rPr>
            </w:pPr>
          </w:p>
        </w:tc>
      </w:tr>
      <w:tr w14:paraId="610C9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50A3614">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5E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DA1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流量</w:t>
            </w:r>
            <w:r>
              <w:rPr>
                <w:rStyle w:val="48"/>
                <w:rFonts w:eastAsia="宋体"/>
                <w:lang w:val="en-US" w:eastAsia="zh-CN" w:bidi="ar"/>
              </w:rPr>
              <w:t>Flow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6F759">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最小</w:t>
            </w:r>
            <w:r>
              <w:rPr>
                <w:rStyle w:val="48"/>
                <w:rFonts w:eastAsia="宋体"/>
                <w:lang w:val="en-US" w:eastAsia="zh-CN" w:bidi="ar"/>
              </w:rPr>
              <w:t xml:space="preserve"> Min.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F1E06C">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液体</w:t>
            </w:r>
            <w:r>
              <w:rPr>
                <w:rStyle w:val="48"/>
                <w:rFonts w:eastAsia="宋体"/>
                <w:lang w:val="en-US" w:eastAsia="zh-CN" w:bidi="ar"/>
              </w:rPr>
              <w:t xml:space="preserve"> Liquid m3/h</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A2CB3F">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55A2BF">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510D9A86">
            <w:pPr>
              <w:jc w:val="center"/>
              <w:rPr>
                <w:rFonts w:hint="eastAsia" w:ascii="宋体" w:hAnsi="宋体" w:eastAsia="宋体" w:cs="宋体"/>
                <w:i w:val="0"/>
                <w:iCs w:val="0"/>
                <w:color w:val="000000"/>
                <w:sz w:val="18"/>
                <w:szCs w:val="18"/>
                <w:u w:val="none"/>
              </w:rPr>
            </w:pPr>
          </w:p>
        </w:tc>
      </w:tr>
      <w:tr w14:paraId="599D8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695F43B">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37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F9E42">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A0E061">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正常</w:t>
            </w:r>
            <w:r>
              <w:rPr>
                <w:rStyle w:val="48"/>
                <w:rFonts w:eastAsia="宋体"/>
                <w:lang w:val="en-US" w:eastAsia="zh-CN" w:bidi="ar"/>
              </w:rPr>
              <w:t xml:space="preserve"> Nor.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648D00">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气体</w:t>
            </w:r>
            <w:r>
              <w:rPr>
                <w:rStyle w:val="48"/>
                <w:rFonts w:eastAsia="宋体"/>
                <w:lang w:val="en-US" w:eastAsia="zh-CN" w:bidi="ar"/>
              </w:rPr>
              <w:t xml:space="preserve"> Gas Nm3/h</w:t>
            </w:r>
          </w:p>
        </w:tc>
        <w:tc>
          <w:tcPr>
            <w:tcW w:w="0" w:type="auto"/>
            <w:tcBorders>
              <w:top w:val="nil"/>
              <w:left w:val="single" w:color="000000" w:sz="4" w:space="0"/>
              <w:bottom w:val="single" w:color="000000" w:sz="4" w:space="0"/>
              <w:right w:val="single" w:color="000000" w:sz="4" w:space="0"/>
            </w:tcBorders>
            <w:shd w:val="clear" w:color="auto" w:fill="FFC000"/>
            <w:noWrap/>
            <w:vAlign w:val="center"/>
          </w:tcPr>
          <w:p w14:paraId="4B67F3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 m3/h / 75 t/h</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638DE4">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E2CAFCF">
            <w:pPr>
              <w:jc w:val="center"/>
              <w:rPr>
                <w:rFonts w:hint="eastAsia" w:ascii="宋体" w:hAnsi="宋体" w:eastAsia="宋体" w:cs="宋体"/>
                <w:i w:val="0"/>
                <w:iCs w:val="0"/>
                <w:color w:val="000000"/>
                <w:sz w:val="18"/>
                <w:szCs w:val="18"/>
                <w:u w:val="none"/>
              </w:rPr>
            </w:pPr>
          </w:p>
        </w:tc>
      </w:tr>
      <w:tr w14:paraId="3251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83EF090">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D0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0CEA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E2FFA">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最大</w:t>
            </w:r>
            <w:r>
              <w:rPr>
                <w:rStyle w:val="48"/>
                <w:rFonts w:eastAsia="宋体"/>
                <w:lang w:val="en-US" w:eastAsia="zh-CN" w:bidi="ar"/>
              </w:rPr>
              <w:t xml:space="preserve"> Max.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AFA4B7">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蒸汽</w:t>
            </w:r>
            <w:r>
              <w:rPr>
                <w:rStyle w:val="48"/>
                <w:rFonts w:eastAsia="宋体"/>
                <w:lang w:val="en-US" w:eastAsia="zh-CN" w:bidi="ar"/>
              </w:rPr>
              <w:t xml:space="preserve"> Vapour kg/h</w:t>
            </w:r>
          </w:p>
        </w:tc>
        <w:tc>
          <w:tcPr>
            <w:tcW w:w="0" w:type="auto"/>
            <w:tcBorders>
              <w:top w:val="nil"/>
              <w:left w:val="single" w:color="000000" w:sz="4" w:space="0"/>
              <w:bottom w:val="single" w:color="000000" w:sz="4" w:space="0"/>
              <w:right w:val="single" w:color="000000" w:sz="4" w:space="0"/>
            </w:tcBorders>
            <w:shd w:val="clear" w:color="auto" w:fill="FFC000"/>
            <w:noWrap/>
            <w:vAlign w:val="center"/>
          </w:tcPr>
          <w:p w14:paraId="3608BB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 m3/h / 97.5 t/h</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596149C">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43D093FA">
            <w:pPr>
              <w:jc w:val="center"/>
              <w:rPr>
                <w:rFonts w:hint="eastAsia" w:ascii="宋体" w:hAnsi="宋体" w:eastAsia="宋体" w:cs="宋体"/>
                <w:i w:val="0"/>
                <w:iCs w:val="0"/>
                <w:color w:val="000000"/>
                <w:sz w:val="18"/>
                <w:szCs w:val="18"/>
                <w:u w:val="none"/>
              </w:rPr>
            </w:pPr>
          </w:p>
        </w:tc>
      </w:tr>
      <w:tr w14:paraId="10E5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21C8199">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E0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6AE1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标准密度</w:t>
            </w:r>
            <w:r>
              <w:rPr>
                <w:rStyle w:val="48"/>
                <w:rFonts w:eastAsia="宋体"/>
                <w:lang w:val="en-US" w:eastAsia="zh-CN" w:bidi="ar"/>
              </w:rPr>
              <w:t xml:space="preserve"> Std. Density kg/Nm3</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E719ED">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D81DD6">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ABE84D2">
            <w:pPr>
              <w:jc w:val="center"/>
              <w:rPr>
                <w:rFonts w:hint="eastAsia" w:ascii="宋体" w:hAnsi="宋体" w:eastAsia="宋体" w:cs="宋体"/>
                <w:i w:val="0"/>
                <w:iCs w:val="0"/>
                <w:color w:val="000000"/>
                <w:sz w:val="18"/>
                <w:szCs w:val="18"/>
                <w:u w:val="none"/>
              </w:rPr>
            </w:pPr>
          </w:p>
        </w:tc>
      </w:tr>
      <w:tr w14:paraId="56FE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2763981">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9C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275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操作密度</w:t>
            </w:r>
            <w:r>
              <w:rPr>
                <w:rStyle w:val="48"/>
                <w:rFonts w:eastAsia="宋体"/>
                <w:lang w:val="en-US" w:eastAsia="zh-CN" w:bidi="ar"/>
              </w:rPr>
              <w:t xml:space="preserve"> Density at Operation Cond. kg/m3</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C060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1502</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4F78D3">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39C2FE87">
            <w:pPr>
              <w:jc w:val="center"/>
              <w:rPr>
                <w:rFonts w:hint="eastAsia" w:ascii="宋体" w:hAnsi="宋体" w:eastAsia="宋体" w:cs="宋体"/>
                <w:i w:val="0"/>
                <w:iCs w:val="0"/>
                <w:color w:val="000000"/>
                <w:sz w:val="18"/>
                <w:szCs w:val="18"/>
                <w:u w:val="none"/>
              </w:rPr>
            </w:pPr>
          </w:p>
        </w:tc>
      </w:tr>
      <w:tr w14:paraId="79284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9AAC35C">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E7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3E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动力粘度</w:t>
            </w:r>
            <w:r>
              <w:rPr>
                <w:rStyle w:val="48"/>
                <w:rFonts w:eastAsia="宋体"/>
                <w:lang w:val="en-US" w:eastAsia="zh-CN" w:bidi="ar"/>
              </w:rPr>
              <w:t xml:space="preserve"> Dynamical Viscosity mPa.s</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4870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6.36</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FC172C">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473F19F">
            <w:pPr>
              <w:jc w:val="center"/>
              <w:rPr>
                <w:rFonts w:hint="eastAsia" w:ascii="宋体" w:hAnsi="宋体" w:eastAsia="宋体" w:cs="宋体"/>
                <w:i w:val="0"/>
                <w:iCs w:val="0"/>
                <w:color w:val="000000"/>
                <w:sz w:val="18"/>
                <w:szCs w:val="18"/>
                <w:u w:val="none"/>
              </w:rPr>
            </w:pPr>
          </w:p>
        </w:tc>
      </w:tr>
      <w:tr w14:paraId="468E1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B960A52">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AB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CC8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允许压力损失</w:t>
            </w:r>
            <w:r>
              <w:rPr>
                <w:rStyle w:val="48"/>
                <w:rFonts w:eastAsia="宋体"/>
                <w:lang w:val="en-US" w:eastAsia="zh-CN" w:bidi="ar"/>
              </w:rPr>
              <w:t xml:space="preserve"> Allowable Press. Drop Kpa</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CA78C3">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02835B">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3752F91">
            <w:pPr>
              <w:jc w:val="center"/>
              <w:rPr>
                <w:rFonts w:hint="eastAsia" w:ascii="宋体" w:hAnsi="宋体" w:eastAsia="宋体" w:cs="宋体"/>
                <w:i w:val="0"/>
                <w:iCs w:val="0"/>
                <w:color w:val="000000"/>
                <w:sz w:val="18"/>
                <w:szCs w:val="18"/>
                <w:u w:val="none"/>
              </w:rPr>
            </w:pPr>
          </w:p>
        </w:tc>
      </w:tr>
      <w:tr w14:paraId="27A03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DA67337">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7C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39F0">
            <w:pPr>
              <w:jc w:val="left"/>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2FF683">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CB93D3">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4F73987">
            <w:pPr>
              <w:jc w:val="center"/>
              <w:rPr>
                <w:rFonts w:hint="eastAsia" w:ascii="宋体" w:hAnsi="宋体" w:eastAsia="宋体" w:cs="宋体"/>
                <w:i w:val="0"/>
                <w:iCs w:val="0"/>
                <w:color w:val="000000"/>
                <w:sz w:val="18"/>
                <w:szCs w:val="18"/>
                <w:u w:val="none"/>
              </w:rPr>
            </w:pPr>
          </w:p>
        </w:tc>
      </w:tr>
      <w:tr w14:paraId="53B8E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378F9E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流量计本体规格</w:t>
            </w:r>
            <w:r>
              <w:rPr>
                <w:rStyle w:val="47"/>
                <w:lang w:val="en-US" w:eastAsia="zh-CN" w:bidi="ar"/>
              </w:rPr>
              <w:br w:type="textWrapping"/>
            </w:r>
            <w:r>
              <w:rPr>
                <w:rStyle w:val="48"/>
                <w:rFonts w:eastAsia="宋体"/>
                <w:lang w:val="en-US" w:eastAsia="zh-CN" w:bidi="ar"/>
              </w:rPr>
              <w:t>FLOWMETER BODY SPEC.</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50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89C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流量计型号</w:t>
            </w:r>
            <w:r>
              <w:rPr>
                <w:rStyle w:val="48"/>
                <w:rFonts w:eastAsia="宋体"/>
                <w:lang w:val="en-US" w:eastAsia="zh-CN" w:bidi="ar"/>
              </w:rPr>
              <w:t xml:space="preserve"> Flowmeter Model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A7FF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371B03">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B6EF57F">
            <w:pPr>
              <w:jc w:val="center"/>
              <w:rPr>
                <w:rFonts w:hint="eastAsia" w:ascii="宋体" w:hAnsi="宋体" w:eastAsia="宋体" w:cs="宋体"/>
                <w:i w:val="0"/>
                <w:iCs w:val="0"/>
                <w:color w:val="000000"/>
                <w:sz w:val="18"/>
                <w:szCs w:val="18"/>
                <w:u w:val="none"/>
              </w:rPr>
            </w:pPr>
          </w:p>
        </w:tc>
      </w:tr>
      <w:tr w14:paraId="19E97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1F11790">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15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17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流量计型式</w:t>
            </w:r>
            <w:r>
              <w:rPr>
                <w:rStyle w:val="48"/>
                <w:rFonts w:eastAsia="宋体"/>
                <w:lang w:val="en-US" w:eastAsia="zh-CN" w:bidi="ar"/>
              </w:rPr>
              <w:t xml:space="preserve"> Flowmeter Type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4E0A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985176">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D90B97E">
            <w:pPr>
              <w:jc w:val="center"/>
              <w:rPr>
                <w:rFonts w:hint="eastAsia" w:ascii="宋体" w:hAnsi="宋体" w:eastAsia="宋体" w:cs="宋体"/>
                <w:i w:val="0"/>
                <w:iCs w:val="0"/>
                <w:color w:val="000000"/>
                <w:sz w:val="18"/>
                <w:szCs w:val="18"/>
                <w:u w:val="none"/>
              </w:rPr>
            </w:pPr>
          </w:p>
        </w:tc>
      </w:tr>
      <w:tr w14:paraId="6E637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138080A">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0F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C1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测量范围</w:t>
            </w:r>
            <w:r>
              <w:rPr>
                <w:rStyle w:val="48"/>
                <w:rFonts w:eastAsia="宋体"/>
                <w:lang w:val="en-US" w:eastAsia="zh-CN" w:bidi="ar"/>
              </w:rPr>
              <w:t xml:space="preserve"> Measure Range</w:t>
            </w:r>
          </w:p>
        </w:tc>
        <w:tc>
          <w:tcPr>
            <w:tcW w:w="0" w:type="auto"/>
            <w:tcBorders>
              <w:top w:val="nil"/>
              <w:left w:val="single" w:color="000000" w:sz="4" w:space="0"/>
              <w:bottom w:val="single" w:color="000000" w:sz="4" w:space="0"/>
              <w:right w:val="single" w:color="000000" w:sz="4" w:space="0"/>
            </w:tcBorders>
            <w:shd w:val="clear" w:color="auto" w:fill="FFC000"/>
            <w:noWrap/>
            <w:vAlign w:val="center"/>
          </w:tcPr>
          <w:p w14:paraId="3D4A0F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0~100 t/h</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4BDA2E">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8E624EE">
            <w:pPr>
              <w:jc w:val="center"/>
              <w:rPr>
                <w:rFonts w:hint="eastAsia" w:ascii="宋体" w:hAnsi="宋体" w:eastAsia="宋体" w:cs="宋体"/>
                <w:i w:val="0"/>
                <w:iCs w:val="0"/>
                <w:color w:val="000000"/>
                <w:sz w:val="18"/>
                <w:szCs w:val="18"/>
                <w:u w:val="none"/>
              </w:rPr>
            </w:pPr>
          </w:p>
        </w:tc>
      </w:tr>
      <w:tr w14:paraId="0E7D9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C757A38">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7F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B5D8F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流量计精度</w:t>
            </w:r>
            <w:r>
              <w:rPr>
                <w:rStyle w:val="48"/>
                <w:rFonts w:eastAsia="宋体"/>
                <w:lang w:val="en-US" w:eastAsia="zh-CN" w:bidi="ar"/>
              </w:rPr>
              <w:t xml:space="preserve"> Flowmeter Accuracy</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9195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±0.1 %</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FD47A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35E0416">
            <w:pPr>
              <w:jc w:val="center"/>
              <w:rPr>
                <w:rFonts w:hint="eastAsia" w:ascii="宋体" w:hAnsi="宋体" w:eastAsia="宋体" w:cs="宋体"/>
                <w:i w:val="0"/>
                <w:iCs w:val="0"/>
                <w:color w:val="000000"/>
                <w:sz w:val="18"/>
                <w:szCs w:val="18"/>
                <w:u w:val="none"/>
              </w:rPr>
            </w:pPr>
          </w:p>
        </w:tc>
      </w:tr>
      <w:tr w14:paraId="70D7C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8ABDCB6">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61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437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公称直径</w:t>
            </w:r>
            <w:r>
              <w:rPr>
                <w:rStyle w:val="48"/>
                <w:rFonts w:eastAsia="宋体"/>
                <w:lang w:val="en-US" w:eastAsia="zh-CN" w:bidi="ar"/>
              </w:rPr>
              <w:t xml:space="preserve"> Nominal Size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D910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6A560F">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09EC20B">
            <w:pPr>
              <w:jc w:val="center"/>
              <w:rPr>
                <w:rFonts w:hint="eastAsia" w:ascii="宋体" w:hAnsi="宋体" w:eastAsia="宋体" w:cs="宋体"/>
                <w:i w:val="0"/>
                <w:iCs w:val="0"/>
                <w:color w:val="000000"/>
                <w:sz w:val="18"/>
                <w:szCs w:val="18"/>
                <w:u w:val="none"/>
              </w:rPr>
            </w:pPr>
          </w:p>
        </w:tc>
      </w:tr>
      <w:tr w14:paraId="7E22F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F29EFE2">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83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83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过程连接</w:t>
            </w:r>
            <w:r>
              <w:rPr>
                <w:rStyle w:val="48"/>
                <w:rFonts w:eastAsia="宋体"/>
                <w:lang w:val="en-US" w:eastAsia="zh-CN" w:bidi="ar"/>
              </w:rPr>
              <w:t xml:space="preserve"> Process Connect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A18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法兰连接</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D92DF5">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3049E2A5">
            <w:pPr>
              <w:jc w:val="center"/>
              <w:rPr>
                <w:rFonts w:hint="eastAsia" w:ascii="宋体" w:hAnsi="宋体" w:eastAsia="宋体" w:cs="宋体"/>
                <w:i w:val="0"/>
                <w:iCs w:val="0"/>
                <w:color w:val="000000"/>
                <w:sz w:val="18"/>
                <w:szCs w:val="18"/>
                <w:u w:val="none"/>
              </w:rPr>
            </w:pPr>
          </w:p>
        </w:tc>
      </w:tr>
      <w:tr w14:paraId="6460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5C5AD56">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13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A0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法兰标准及等级</w:t>
            </w:r>
            <w:r>
              <w:rPr>
                <w:rStyle w:val="48"/>
                <w:rFonts w:eastAsia="宋体"/>
                <w:lang w:val="en-US" w:eastAsia="zh-CN" w:bidi="ar"/>
              </w:rPr>
              <w:t xml:space="preserve"> Flange Standard &amp; Rating</w:t>
            </w:r>
          </w:p>
        </w:tc>
        <w:tc>
          <w:tcPr>
            <w:tcW w:w="0" w:type="auto"/>
            <w:tcBorders>
              <w:top w:val="nil"/>
              <w:left w:val="single" w:color="000000" w:sz="4" w:space="0"/>
              <w:bottom w:val="single" w:color="000000" w:sz="4" w:space="0"/>
              <w:right w:val="single" w:color="000000" w:sz="4" w:space="0"/>
            </w:tcBorders>
            <w:shd w:val="clear" w:color="auto" w:fill="00B0F0"/>
            <w:noWrap/>
            <w:vAlign w:val="center"/>
          </w:tcPr>
          <w:p w14:paraId="13C0F6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HG/T20592(B)-2009 PN1</w:t>
            </w:r>
            <w:r>
              <w:rPr>
                <w:rStyle w:val="48"/>
                <w:rFonts w:eastAsia="宋体"/>
                <w:lang w:val="en-US" w:eastAsia="zh-CN" w:bidi="ar"/>
              </w:rPr>
              <w:t>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F8C2BA">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8483F27">
            <w:pPr>
              <w:jc w:val="center"/>
              <w:rPr>
                <w:rFonts w:hint="eastAsia" w:ascii="宋体" w:hAnsi="宋体" w:eastAsia="宋体" w:cs="宋体"/>
                <w:i w:val="0"/>
                <w:iCs w:val="0"/>
                <w:color w:val="000000"/>
                <w:sz w:val="18"/>
                <w:szCs w:val="18"/>
                <w:u w:val="none"/>
              </w:rPr>
            </w:pPr>
          </w:p>
        </w:tc>
      </w:tr>
      <w:tr w14:paraId="58E98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1849C9F">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64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3A5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法兰尺寸及密封面</w:t>
            </w:r>
            <w:r>
              <w:rPr>
                <w:rStyle w:val="48"/>
                <w:rFonts w:eastAsia="宋体"/>
                <w:lang w:val="en-US" w:eastAsia="zh-CN" w:bidi="ar"/>
              </w:rPr>
              <w:t xml:space="preserve"> Flange Size &amp; Facing</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1227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RF</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FE8ADE">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B81834D">
            <w:pPr>
              <w:jc w:val="center"/>
              <w:rPr>
                <w:rFonts w:hint="eastAsia" w:ascii="宋体" w:hAnsi="宋体" w:eastAsia="宋体" w:cs="宋体"/>
                <w:i w:val="0"/>
                <w:iCs w:val="0"/>
                <w:color w:val="000000"/>
                <w:sz w:val="18"/>
                <w:szCs w:val="18"/>
                <w:u w:val="none"/>
              </w:rPr>
            </w:pPr>
          </w:p>
        </w:tc>
      </w:tr>
      <w:tr w14:paraId="4AF65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6993064">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94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AC4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法兰材质</w:t>
            </w:r>
            <w:r>
              <w:rPr>
                <w:rStyle w:val="48"/>
                <w:rFonts w:eastAsia="宋体"/>
                <w:lang w:val="en-US" w:eastAsia="zh-CN" w:bidi="ar"/>
              </w:rPr>
              <w:t xml:space="preserve"> Flange Material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4135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304SS</w:t>
            </w:r>
            <w:r>
              <w:rPr>
                <w:rStyle w:val="47"/>
                <w:lang w:val="en-US" w:eastAsia="zh-CN" w:bidi="ar"/>
              </w:rPr>
              <w:t>松套法兰</w:t>
            </w:r>
            <w:r>
              <w:rPr>
                <w:rStyle w:val="48"/>
                <w:rFonts w:eastAsia="宋体"/>
                <w:lang w:val="en-US" w:eastAsia="zh-CN" w:bidi="ar"/>
              </w:rPr>
              <w:t xml:space="preserve"> </w:t>
            </w:r>
            <w:r>
              <w:rPr>
                <w:rStyle w:val="47"/>
                <w:lang w:val="en-US" w:eastAsia="zh-CN" w:bidi="ar"/>
              </w:rPr>
              <w:t>接液部分</w:t>
            </w:r>
            <w:r>
              <w:rPr>
                <w:rStyle w:val="48"/>
                <w:rFonts w:eastAsia="宋体"/>
                <w:lang w:val="en-US" w:eastAsia="zh-CN" w:bidi="ar"/>
              </w:rPr>
              <w:t xml:space="preserve"> Alloy C22</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20C15B">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5DD87B6">
            <w:pPr>
              <w:jc w:val="center"/>
              <w:rPr>
                <w:rFonts w:hint="eastAsia" w:ascii="宋体" w:hAnsi="宋体" w:eastAsia="宋体" w:cs="宋体"/>
                <w:i w:val="0"/>
                <w:iCs w:val="0"/>
                <w:color w:val="000000"/>
                <w:sz w:val="18"/>
                <w:szCs w:val="18"/>
                <w:u w:val="none"/>
              </w:rPr>
            </w:pPr>
          </w:p>
        </w:tc>
      </w:tr>
      <w:tr w14:paraId="67AF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0A329D2">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62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F5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本体材质</w:t>
            </w:r>
            <w:r>
              <w:rPr>
                <w:rStyle w:val="48"/>
                <w:rFonts w:eastAsia="宋体"/>
                <w:lang w:val="en-US" w:eastAsia="zh-CN" w:bidi="ar"/>
              </w:rPr>
              <w:t xml:space="preserve"> Body Material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EBAED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304SS</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5BCA0BF">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A453150">
            <w:pPr>
              <w:jc w:val="center"/>
              <w:rPr>
                <w:rFonts w:hint="eastAsia" w:ascii="宋体" w:hAnsi="宋体" w:eastAsia="宋体" w:cs="宋体"/>
                <w:i w:val="0"/>
                <w:iCs w:val="0"/>
                <w:color w:val="000000"/>
                <w:sz w:val="18"/>
                <w:szCs w:val="18"/>
                <w:u w:val="none"/>
              </w:rPr>
            </w:pPr>
          </w:p>
        </w:tc>
      </w:tr>
      <w:tr w14:paraId="1024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57BC1A2">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44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F6F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测量管材质</w:t>
            </w:r>
            <w:r>
              <w:rPr>
                <w:rStyle w:val="48"/>
                <w:rFonts w:eastAsia="宋体"/>
                <w:lang w:val="en-US" w:eastAsia="zh-CN" w:bidi="ar"/>
              </w:rPr>
              <w:t xml:space="preserve"> Meter Piping Material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E495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Alloy C22</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85F3FA">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2C41680B">
            <w:pPr>
              <w:jc w:val="center"/>
              <w:rPr>
                <w:rFonts w:hint="eastAsia" w:ascii="宋体" w:hAnsi="宋体" w:eastAsia="宋体" w:cs="宋体"/>
                <w:i w:val="0"/>
                <w:iCs w:val="0"/>
                <w:color w:val="000000"/>
                <w:sz w:val="18"/>
                <w:szCs w:val="18"/>
                <w:u w:val="none"/>
              </w:rPr>
            </w:pPr>
          </w:p>
        </w:tc>
      </w:tr>
      <w:tr w14:paraId="52E3B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B4DBE5D">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8C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FDD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衬里</w:t>
            </w:r>
            <w:r>
              <w:rPr>
                <w:rStyle w:val="48"/>
                <w:rFonts w:eastAsia="宋体"/>
                <w:lang w:val="en-US" w:eastAsia="zh-CN" w:bidi="ar"/>
              </w:rPr>
              <w:t xml:space="preserve"> Lining</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83A4F4">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E70DEB">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3F6B8E76">
            <w:pPr>
              <w:jc w:val="center"/>
              <w:rPr>
                <w:rFonts w:hint="eastAsia" w:ascii="宋体" w:hAnsi="宋体" w:eastAsia="宋体" w:cs="宋体"/>
                <w:i w:val="0"/>
                <w:iCs w:val="0"/>
                <w:color w:val="000000"/>
                <w:sz w:val="18"/>
                <w:szCs w:val="18"/>
                <w:u w:val="none"/>
              </w:rPr>
            </w:pPr>
          </w:p>
        </w:tc>
      </w:tr>
      <w:tr w14:paraId="63EA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4470A45">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54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38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连接电缆</w:t>
            </w:r>
            <w:r>
              <w:rPr>
                <w:rStyle w:val="48"/>
                <w:rFonts w:eastAsia="宋体"/>
                <w:lang w:val="en-US" w:eastAsia="zh-CN" w:bidi="ar"/>
              </w:rPr>
              <w:t xml:space="preserve"> Conn. Cable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244200">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883A3B">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03793E1">
            <w:pPr>
              <w:jc w:val="center"/>
              <w:rPr>
                <w:rFonts w:hint="eastAsia" w:ascii="宋体" w:hAnsi="宋体" w:eastAsia="宋体" w:cs="宋体"/>
                <w:i w:val="0"/>
                <w:iCs w:val="0"/>
                <w:color w:val="000000"/>
                <w:sz w:val="18"/>
                <w:szCs w:val="18"/>
                <w:u w:val="none"/>
              </w:rPr>
            </w:pPr>
          </w:p>
        </w:tc>
      </w:tr>
      <w:tr w14:paraId="43902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485891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转换器规格</w:t>
            </w:r>
            <w:r>
              <w:rPr>
                <w:rStyle w:val="47"/>
                <w:lang w:val="en-US" w:eastAsia="zh-CN" w:bidi="ar"/>
              </w:rPr>
              <w:br w:type="textWrapping"/>
            </w:r>
            <w:r>
              <w:rPr>
                <w:rStyle w:val="48"/>
                <w:rFonts w:eastAsia="宋体"/>
                <w:lang w:val="en-US" w:eastAsia="zh-CN" w:bidi="ar"/>
              </w:rPr>
              <w:t>CONVERTOR SPEC.</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22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AC3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变送单元型号</w:t>
            </w:r>
            <w:r>
              <w:rPr>
                <w:rStyle w:val="48"/>
                <w:rFonts w:eastAsia="宋体"/>
                <w:lang w:val="en-US" w:eastAsia="zh-CN" w:bidi="ar"/>
              </w:rPr>
              <w:t xml:space="preserve"> Transmitter Model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CC6F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C4EAF4">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23015AC">
            <w:pPr>
              <w:jc w:val="center"/>
              <w:rPr>
                <w:rFonts w:hint="eastAsia" w:ascii="宋体" w:hAnsi="宋体" w:eastAsia="宋体" w:cs="宋体"/>
                <w:i w:val="0"/>
                <w:iCs w:val="0"/>
                <w:color w:val="000000"/>
                <w:sz w:val="18"/>
                <w:szCs w:val="18"/>
                <w:u w:val="none"/>
              </w:rPr>
            </w:pPr>
          </w:p>
        </w:tc>
      </w:tr>
      <w:tr w14:paraId="6639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4E43321">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90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628F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安装方式</w:t>
            </w:r>
            <w:r>
              <w:rPr>
                <w:rStyle w:val="48"/>
                <w:rFonts w:eastAsia="宋体"/>
                <w:lang w:val="en-US" w:eastAsia="zh-CN" w:bidi="ar"/>
              </w:rPr>
              <w:t xml:space="preserve"> Mout Type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683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一体式</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167F50">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7E1BD624">
            <w:pPr>
              <w:jc w:val="center"/>
              <w:rPr>
                <w:rFonts w:hint="eastAsia" w:ascii="宋体" w:hAnsi="宋体" w:eastAsia="宋体" w:cs="宋体"/>
                <w:i w:val="0"/>
                <w:iCs w:val="0"/>
                <w:color w:val="000000"/>
                <w:sz w:val="18"/>
                <w:szCs w:val="18"/>
                <w:u w:val="none"/>
              </w:rPr>
            </w:pPr>
          </w:p>
        </w:tc>
      </w:tr>
      <w:tr w14:paraId="73D2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8F0E7AD">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65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F9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输出信号</w:t>
            </w:r>
            <w:r>
              <w:rPr>
                <w:rStyle w:val="48"/>
                <w:rFonts w:eastAsia="宋体"/>
                <w:lang w:val="en-US" w:eastAsia="zh-CN" w:bidi="ar"/>
              </w:rPr>
              <w:t xml:space="preserve"> Output Signal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4E3B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4~20mA DC + HART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5BE010">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4EFED3F">
            <w:pPr>
              <w:jc w:val="center"/>
              <w:rPr>
                <w:rFonts w:hint="eastAsia" w:ascii="宋体" w:hAnsi="宋体" w:eastAsia="宋体" w:cs="宋体"/>
                <w:i w:val="0"/>
                <w:iCs w:val="0"/>
                <w:color w:val="000000"/>
                <w:sz w:val="18"/>
                <w:szCs w:val="18"/>
                <w:u w:val="none"/>
              </w:rPr>
            </w:pPr>
          </w:p>
        </w:tc>
      </w:tr>
      <w:tr w14:paraId="6B5CB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152D47A">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C4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449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电源</w:t>
            </w:r>
            <w:r>
              <w:rPr>
                <w:rStyle w:val="48"/>
                <w:rFonts w:eastAsia="宋体"/>
                <w:lang w:val="en-US" w:eastAsia="zh-CN" w:bidi="ar"/>
              </w:rPr>
              <w:t xml:space="preserve"> Power Supply</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07BA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 VDC</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756D0E">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0AD1120">
            <w:pPr>
              <w:jc w:val="center"/>
              <w:rPr>
                <w:rFonts w:hint="eastAsia" w:ascii="宋体" w:hAnsi="宋体" w:eastAsia="宋体" w:cs="宋体"/>
                <w:i w:val="0"/>
                <w:iCs w:val="0"/>
                <w:color w:val="000000"/>
                <w:sz w:val="18"/>
                <w:szCs w:val="18"/>
                <w:u w:val="none"/>
              </w:rPr>
            </w:pPr>
          </w:p>
        </w:tc>
      </w:tr>
      <w:tr w14:paraId="6559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9C569DA">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1C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11D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电气接口尺寸</w:t>
            </w:r>
            <w:r>
              <w:rPr>
                <w:rStyle w:val="48"/>
                <w:rFonts w:eastAsia="宋体"/>
                <w:lang w:val="en-US" w:eastAsia="zh-CN" w:bidi="ar"/>
              </w:rPr>
              <w:t xml:space="preserve"> Electric Connection Size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5D96B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2*1/2" NPT(F)</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9474AA">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28745EA3">
            <w:pPr>
              <w:jc w:val="center"/>
              <w:rPr>
                <w:rFonts w:hint="eastAsia" w:ascii="宋体" w:hAnsi="宋体" w:eastAsia="宋体" w:cs="宋体"/>
                <w:i w:val="0"/>
                <w:iCs w:val="0"/>
                <w:color w:val="000000"/>
                <w:sz w:val="18"/>
                <w:szCs w:val="18"/>
                <w:u w:val="none"/>
              </w:rPr>
            </w:pPr>
          </w:p>
        </w:tc>
      </w:tr>
      <w:tr w14:paraId="752D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9DB917C">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A6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65FF6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输出指示表类型</w:t>
            </w:r>
            <w:r>
              <w:rPr>
                <w:rStyle w:val="48"/>
                <w:rFonts w:eastAsia="宋体"/>
                <w:lang w:val="en-US" w:eastAsia="zh-CN" w:bidi="ar"/>
              </w:rPr>
              <w:t xml:space="preserve"> Output Indicator</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3B5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DF8749">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36FFCB1D">
            <w:pPr>
              <w:jc w:val="center"/>
              <w:rPr>
                <w:rFonts w:hint="eastAsia" w:ascii="宋体" w:hAnsi="宋体" w:eastAsia="宋体" w:cs="宋体"/>
                <w:i w:val="0"/>
                <w:iCs w:val="0"/>
                <w:color w:val="000000"/>
                <w:sz w:val="18"/>
                <w:szCs w:val="18"/>
                <w:u w:val="none"/>
              </w:rPr>
            </w:pPr>
          </w:p>
        </w:tc>
      </w:tr>
      <w:tr w14:paraId="3084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7624BF1">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37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0E79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防护等级</w:t>
            </w:r>
            <w:r>
              <w:rPr>
                <w:rStyle w:val="48"/>
                <w:rFonts w:eastAsia="宋体"/>
                <w:lang w:val="en-US" w:eastAsia="zh-CN" w:bidi="ar"/>
              </w:rPr>
              <w:t xml:space="preserve"> Protection Class</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115A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IP65</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79919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58FAC54C">
            <w:pPr>
              <w:jc w:val="center"/>
              <w:rPr>
                <w:rFonts w:hint="eastAsia" w:ascii="宋体" w:hAnsi="宋体" w:eastAsia="宋体" w:cs="宋体"/>
                <w:i w:val="0"/>
                <w:iCs w:val="0"/>
                <w:color w:val="000000"/>
                <w:sz w:val="18"/>
                <w:szCs w:val="18"/>
                <w:u w:val="none"/>
              </w:rPr>
            </w:pPr>
          </w:p>
        </w:tc>
      </w:tr>
      <w:tr w14:paraId="0C02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D908A0A">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13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0452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防爆认证</w:t>
            </w:r>
            <w:r>
              <w:rPr>
                <w:rStyle w:val="48"/>
                <w:rFonts w:eastAsia="宋体"/>
                <w:lang w:val="en-US" w:eastAsia="zh-CN" w:bidi="ar"/>
              </w:rPr>
              <w:t xml:space="preserve"> Explosion-proof Certification</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5A240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255CB2">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0642E86">
            <w:pPr>
              <w:jc w:val="center"/>
              <w:rPr>
                <w:rFonts w:hint="eastAsia" w:ascii="宋体" w:hAnsi="宋体" w:eastAsia="宋体" w:cs="宋体"/>
                <w:i w:val="0"/>
                <w:iCs w:val="0"/>
                <w:color w:val="000000"/>
                <w:sz w:val="18"/>
                <w:szCs w:val="18"/>
                <w:u w:val="none"/>
              </w:rPr>
            </w:pPr>
          </w:p>
        </w:tc>
      </w:tr>
      <w:tr w14:paraId="5F042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77736B3">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43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08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温度测量范围</w:t>
            </w:r>
            <w:r>
              <w:rPr>
                <w:rStyle w:val="48"/>
                <w:rFonts w:eastAsia="宋体"/>
                <w:lang w:val="en-US" w:eastAsia="zh-CN" w:bidi="ar"/>
              </w:rPr>
              <w:t xml:space="preserve"> Temp. Meas. Range</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2EAF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0~100 </w:t>
            </w:r>
            <w:r>
              <w:rPr>
                <w:rStyle w:val="47"/>
                <w:lang w:val="en-US" w:eastAsia="zh-CN" w:bidi="ar"/>
              </w:rPr>
              <w:t>℃</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2FB31D">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0577D2A">
            <w:pPr>
              <w:jc w:val="center"/>
              <w:rPr>
                <w:rFonts w:hint="eastAsia" w:ascii="宋体" w:hAnsi="宋体" w:eastAsia="宋体" w:cs="宋体"/>
                <w:i w:val="0"/>
                <w:iCs w:val="0"/>
                <w:color w:val="000000"/>
                <w:sz w:val="18"/>
                <w:szCs w:val="18"/>
                <w:u w:val="none"/>
              </w:rPr>
            </w:pPr>
          </w:p>
        </w:tc>
      </w:tr>
      <w:tr w14:paraId="044A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9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4FDB03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其他要求</w:t>
            </w:r>
            <w:r>
              <w:rPr>
                <w:rStyle w:val="47"/>
                <w:lang w:val="en-US" w:eastAsia="zh-CN" w:bidi="ar"/>
              </w:rPr>
              <w:br w:type="textWrapping"/>
            </w:r>
            <w:r>
              <w:rPr>
                <w:rStyle w:val="48"/>
                <w:rFonts w:eastAsia="宋体"/>
                <w:lang w:val="en-US" w:eastAsia="zh-CN" w:bidi="ar"/>
              </w:rPr>
              <w:t>OTHERS</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8B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FEDAC3">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安全等级</w:t>
            </w:r>
            <w:r>
              <w:rPr>
                <w:rStyle w:val="48"/>
                <w:rFonts w:eastAsia="宋体"/>
                <w:lang w:val="en-US" w:eastAsia="zh-CN" w:bidi="ar"/>
              </w:rPr>
              <w:t xml:space="preserve"> Safety Integrity Level(SIL)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4B88F2">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A1A720">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DA8D806">
            <w:pPr>
              <w:jc w:val="center"/>
              <w:rPr>
                <w:rFonts w:hint="eastAsia" w:ascii="宋体" w:hAnsi="宋体" w:eastAsia="宋体" w:cs="宋体"/>
                <w:i w:val="0"/>
                <w:iCs w:val="0"/>
                <w:color w:val="000000"/>
                <w:sz w:val="18"/>
                <w:szCs w:val="18"/>
                <w:u w:val="none"/>
              </w:rPr>
            </w:pPr>
          </w:p>
        </w:tc>
      </w:tr>
      <w:tr w14:paraId="3723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EFD3E6C">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D7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06B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认证</w:t>
            </w:r>
            <w:r>
              <w:rPr>
                <w:rStyle w:val="48"/>
                <w:rFonts w:eastAsia="宋体"/>
                <w:lang w:val="en-US" w:eastAsia="zh-CN" w:bidi="ar"/>
              </w:rPr>
              <w:t xml:space="preserve"> Approval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341378">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BBF9E8">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54D5831C">
            <w:pPr>
              <w:jc w:val="center"/>
              <w:rPr>
                <w:rFonts w:hint="eastAsia" w:ascii="宋体" w:hAnsi="宋体" w:eastAsia="宋体" w:cs="宋体"/>
                <w:i w:val="0"/>
                <w:iCs w:val="0"/>
                <w:color w:val="000000"/>
                <w:sz w:val="18"/>
                <w:szCs w:val="18"/>
                <w:u w:val="none"/>
              </w:rPr>
            </w:pPr>
          </w:p>
        </w:tc>
      </w:tr>
      <w:tr w14:paraId="6F61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7672B42">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E0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812F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密度测量范围</w:t>
            </w:r>
            <w:r>
              <w:rPr>
                <w:rStyle w:val="48"/>
                <w:rFonts w:eastAsia="宋体"/>
                <w:lang w:val="en-US" w:eastAsia="zh-CN" w:bidi="ar"/>
              </w:rPr>
              <w:t xml:space="preserve"> Density Meas. Range</w:t>
            </w:r>
          </w:p>
        </w:tc>
        <w:tc>
          <w:tcPr>
            <w:tcW w:w="0" w:type="auto"/>
            <w:tcBorders>
              <w:top w:val="nil"/>
              <w:left w:val="single" w:color="000000" w:sz="4" w:space="0"/>
              <w:bottom w:val="single" w:color="000000" w:sz="4" w:space="0"/>
              <w:right w:val="single" w:color="000000" w:sz="4" w:space="0"/>
            </w:tcBorders>
            <w:shd w:val="clear" w:color="auto" w:fill="00B0F0"/>
            <w:noWrap/>
            <w:vAlign w:val="center"/>
          </w:tcPr>
          <w:p w14:paraId="1F5F26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0~2000 Kg/m3</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C5CE68">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3BB42AD">
            <w:pPr>
              <w:jc w:val="center"/>
              <w:rPr>
                <w:rFonts w:hint="eastAsia" w:ascii="宋体" w:hAnsi="宋体" w:eastAsia="宋体" w:cs="宋体"/>
                <w:i w:val="0"/>
                <w:iCs w:val="0"/>
                <w:color w:val="000000"/>
                <w:sz w:val="18"/>
                <w:szCs w:val="18"/>
                <w:u w:val="none"/>
              </w:rPr>
            </w:pPr>
          </w:p>
        </w:tc>
      </w:tr>
      <w:tr w14:paraId="1CDB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5FD11A8">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7A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597009">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Style w:val="47"/>
                <w:lang w:val="en-US" w:eastAsia="zh-CN" w:bidi="ar"/>
              </w:rPr>
              <w:t>制造商</w:t>
            </w:r>
            <w:r>
              <w:rPr>
                <w:rStyle w:val="48"/>
                <w:rFonts w:eastAsia="宋体"/>
                <w:lang w:val="en-US" w:eastAsia="zh-CN" w:bidi="ar"/>
              </w:rPr>
              <w:t xml:space="preserve"> Manufacturer</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6BB47F">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BE4C89">
            <w:pPr>
              <w:jc w:val="center"/>
              <w:rPr>
                <w:rFonts w:hint="eastAsia" w:ascii="宋体" w:hAnsi="宋体" w:eastAsia="宋体" w:cs="宋体"/>
                <w:i w:val="0"/>
                <w:iCs w:val="0"/>
                <w:color w:val="000000"/>
                <w:sz w:val="18"/>
                <w:szCs w:val="18"/>
                <w:u w:val="none"/>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6CA30909">
            <w:pPr>
              <w:jc w:val="center"/>
              <w:rPr>
                <w:rFonts w:hint="eastAsia" w:ascii="宋体" w:hAnsi="宋体" w:eastAsia="宋体" w:cs="宋体"/>
                <w:i w:val="0"/>
                <w:iCs w:val="0"/>
                <w:color w:val="000000"/>
                <w:sz w:val="18"/>
                <w:szCs w:val="18"/>
                <w:u w:val="none"/>
              </w:rPr>
            </w:pPr>
          </w:p>
        </w:tc>
      </w:tr>
      <w:tr w14:paraId="0E1A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restart"/>
            <w:tcBorders>
              <w:top w:val="single" w:color="000000" w:sz="4" w:space="0"/>
              <w:left w:val="single" w:color="000000" w:sz="8" w:space="0"/>
              <w:bottom w:val="single" w:color="000000" w:sz="8" w:space="0"/>
              <w:right w:val="single" w:color="000000" w:sz="4" w:space="0"/>
            </w:tcBorders>
            <w:shd w:val="clear" w:color="auto" w:fill="auto"/>
            <w:vAlign w:val="center"/>
          </w:tcPr>
          <w:p w14:paraId="7A436A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47"/>
                <w:lang w:val="en-US" w:eastAsia="zh-CN" w:bidi="ar"/>
              </w:rPr>
              <w:t>备注</w:t>
            </w:r>
            <w:r>
              <w:rPr>
                <w:rStyle w:val="47"/>
                <w:lang w:val="en-US" w:eastAsia="zh-CN" w:bidi="ar"/>
              </w:rPr>
              <w:br w:type="textWrapping"/>
            </w:r>
            <w:r>
              <w:rPr>
                <w:rStyle w:val="48"/>
                <w:rFonts w:eastAsia="宋体"/>
                <w:lang w:val="en-US" w:eastAsia="zh-CN" w:bidi="ar"/>
              </w:rPr>
              <w:t>REM.</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5E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0" w:type="auto"/>
            <w:gridSpan w:val="6"/>
            <w:vMerge w:val="restart"/>
            <w:tcBorders>
              <w:top w:val="single" w:color="000000" w:sz="4" w:space="0"/>
              <w:left w:val="single" w:color="000000" w:sz="4" w:space="0"/>
              <w:bottom w:val="single" w:color="000000" w:sz="8" w:space="0"/>
              <w:right w:val="single" w:color="000000" w:sz="8" w:space="0"/>
            </w:tcBorders>
            <w:shd w:val="clear" w:color="auto" w:fill="auto"/>
            <w:noWrap/>
            <w:vAlign w:val="top"/>
          </w:tcPr>
          <w:p w14:paraId="343E5AE9">
            <w:pPr>
              <w:jc w:val="left"/>
              <w:rPr>
                <w:rFonts w:hint="eastAsia" w:ascii="宋体" w:hAnsi="宋体" w:eastAsia="宋体" w:cs="宋体"/>
                <w:i w:val="0"/>
                <w:iCs w:val="0"/>
                <w:color w:val="000000"/>
                <w:sz w:val="18"/>
                <w:szCs w:val="18"/>
                <w:u w:val="none"/>
              </w:rPr>
            </w:pPr>
          </w:p>
        </w:tc>
      </w:tr>
      <w:tr w14:paraId="62A8C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95"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14:paraId="4EC415DF">
            <w:pPr>
              <w:jc w:val="center"/>
              <w:rPr>
                <w:rFonts w:hint="default" w:ascii="Times New Roman" w:hAnsi="Times New Roman" w:eastAsia="宋体" w:cs="Times New Roman"/>
                <w:i w:val="0"/>
                <w:iCs w:val="0"/>
                <w:color w:val="000000"/>
                <w:sz w:val="18"/>
                <w:szCs w:val="18"/>
                <w:u w:val="none"/>
              </w:rPr>
            </w:pPr>
          </w:p>
        </w:tc>
        <w:tc>
          <w:tcPr>
            <w:tcW w:w="37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2A985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w:t>
            </w:r>
          </w:p>
        </w:tc>
        <w:tc>
          <w:tcPr>
            <w:tcW w:w="0" w:type="auto"/>
            <w:gridSpan w:val="6"/>
            <w:vMerge w:val="continue"/>
            <w:tcBorders>
              <w:top w:val="single" w:color="000000" w:sz="4" w:space="0"/>
              <w:left w:val="single" w:color="000000" w:sz="4" w:space="0"/>
              <w:bottom w:val="single" w:color="000000" w:sz="8" w:space="0"/>
              <w:right w:val="single" w:color="000000" w:sz="8" w:space="0"/>
            </w:tcBorders>
            <w:shd w:val="clear" w:color="auto" w:fill="auto"/>
            <w:noWrap/>
            <w:vAlign w:val="top"/>
          </w:tcPr>
          <w:p w14:paraId="617C2BFD">
            <w:pPr>
              <w:jc w:val="left"/>
              <w:rPr>
                <w:rFonts w:hint="eastAsia" w:ascii="宋体" w:hAnsi="宋体" w:eastAsia="宋体" w:cs="宋体"/>
                <w:i w:val="0"/>
                <w:iCs w:val="0"/>
                <w:color w:val="000000"/>
                <w:sz w:val="18"/>
                <w:szCs w:val="18"/>
                <w:u w:val="none"/>
              </w:rPr>
            </w:pPr>
          </w:p>
        </w:tc>
      </w:tr>
    </w:tbl>
    <w:p w14:paraId="1FD29F17">
      <w:pPr>
        <w:keepNext w:val="0"/>
        <w:keepLines w:val="0"/>
        <w:pageBreakBefore w:val="0"/>
        <w:numPr>
          <w:ilvl w:val="0"/>
          <w:numId w:val="2"/>
        </w:numPr>
        <w:kinsoku/>
        <w:wordWrap/>
        <w:overflowPunct/>
        <w:topLinePunct w:val="0"/>
        <w:bidi w:val="0"/>
        <w:adjustRightInd/>
        <w:snapToGrid/>
        <w:spacing w:line="360" w:lineRule="auto"/>
        <w:ind w:leftChars="-2"/>
        <w:rPr>
          <w:rFonts w:hint="eastAsia" w:ascii="宋体" w:hAnsi="宋体" w:cs="宋体"/>
          <w:b/>
          <w:sz w:val="28"/>
          <w:szCs w:val="28"/>
          <w:highlight w:val="none"/>
          <w:lang w:val="en-US" w:eastAsia="zh-CN"/>
        </w:rPr>
      </w:pPr>
      <w:r>
        <w:rPr>
          <w:rFonts w:hint="eastAsia" w:ascii="宋体" w:hAnsi="宋体" w:cs="宋体"/>
          <w:b/>
          <w:sz w:val="28"/>
          <w:szCs w:val="28"/>
          <w:highlight w:val="none"/>
          <w:lang w:val="en-US" w:eastAsia="zh-CN"/>
        </w:rPr>
        <w:t>具体参数要求</w:t>
      </w:r>
    </w:p>
    <w:p w14:paraId="15D2BB06">
      <w:pPr>
        <w:keepNext w:val="0"/>
        <w:keepLines w:val="0"/>
        <w:pageBreakBefore w:val="0"/>
        <w:numPr>
          <w:ilvl w:val="0"/>
          <w:numId w:val="0"/>
        </w:numPr>
        <w:kinsoku/>
        <w:wordWrap/>
        <w:overflowPunct/>
        <w:topLinePunct w:val="0"/>
        <w:bidi w:val="0"/>
        <w:adjustRightInd/>
        <w:snapToGrid/>
        <w:spacing w:line="360" w:lineRule="auto"/>
        <w:ind w:left="-5" w:leftChars="0"/>
        <w:rPr>
          <w:rFonts w:hint="default" w:ascii="宋体" w:hAnsi="宋体" w:eastAsia="宋体" w:cs="宋体"/>
          <w:b/>
          <w:bCs/>
          <w:sz w:val="24"/>
          <w:szCs w:val="28"/>
          <w:highlight w:val="yellow"/>
          <w:lang w:val="en-US" w:eastAsia="zh-CN"/>
        </w:rPr>
      </w:pPr>
      <w:r>
        <w:rPr>
          <w:rFonts w:hint="default" w:ascii="宋体" w:hAnsi="宋体" w:eastAsia="宋体" w:cs="宋体"/>
          <w:b/>
          <w:bCs/>
          <w:sz w:val="24"/>
          <w:szCs w:val="28"/>
          <w:highlight w:val="yellow"/>
          <w:lang w:val="en-US" w:eastAsia="zh-CN"/>
        </w:rPr>
        <w:t>50碱质量流量计参数如下：口径DN100，测量管材质镍合金 C-22/2.4602（哈氏合金），外壳材质316L，流量精度0.1%，密度精度：0.002 g/cm³，最大测量流量170t/h，</w:t>
      </w:r>
      <w:r>
        <w:rPr>
          <w:rFonts w:hint="eastAsia" w:ascii="宋体" w:hAnsi="宋体" w:cs="宋体"/>
          <w:b/>
          <w:bCs/>
          <w:sz w:val="24"/>
          <w:szCs w:val="28"/>
          <w:highlight w:val="yellow"/>
          <w:lang w:val="en-US" w:eastAsia="zh-CN"/>
        </w:rPr>
        <w:t>2路输出，一路流量输出，另一路</w:t>
      </w:r>
      <w:r>
        <w:rPr>
          <w:rFonts w:hint="default" w:ascii="宋体" w:hAnsi="宋体" w:eastAsia="宋体" w:cs="宋体"/>
          <w:b/>
          <w:bCs/>
          <w:sz w:val="24"/>
          <w:szCs w:val="28"/>
          <w:highlight w:val="yellow"/>
          <w:lang w:val="en-US" w:eastAsia="zh-CN"/>
        </w:rPr>
        <w:t>浓度输出功能</w:t>
      </w:r>
      <w:r>
        <w:rPr>
          <w:rFonts w:hint="eastAsia" w:ascii="宋体" w:hAnsi="宋体" w:cs="宋体"/>
          <w:b/>
          <w:bCs/>
          <w:sz w:val="24"/>
          <w:szCs w:val="28"/>
          <w:highlight w:val="yellow"/>
          <w:lang w:val="en-US" w:eastAsia="zh-CN"/>
        </w:rPr>
        <w:t>（甲方不提供浓度测量相关数据表，乙方所提供表计自身需具备准确测量50%液碱浓度功能，且与实验室手工滴定数据误差在±0.1%，详见验收标准）</w:t>
      </w:r>
      <w:r>
        <w:rPr>
          <w:rFonts w:hint="default" w:ascii="宋体" w:hAnsi="宋体" w:eastAsia="宋体" w:cs="宋体"/>
          <w:b/>
          <w:bCs/>
          <w:sz w:val="24"/>
          <w:szCs w:val="28"/>
          <w:highlight w:val="yellow"/>
          <w:lang w:val="en-US" w:eastAsia="zh-CN"/>
        </w:rPr>
        <w:t>，包含监检证书</w:t>
      </w:r>
      <w:r>
        <w:rPr>
          <w:rFonts w:hint="eastAsia" w:ascii="宋体" w:hAnsi="宋体" w:cs="宋体"/>
          <w:b/>
          <w:bCs/>
          <w:sz w:val="24"/>
          <w:szCs w:val="28"/>
          <w:highlight w:val="yellow"/>
          <w:lang w:val="en-US" w:eastAsia="zh-CN"/>
        </w:rPr>
        <w:t>。</w:t>
      </w:r>
      <w:bookmarkStart w:id="1" w:name="_GoBack"/>
      <w:bookmarkEnd w:id="1"/>
    </w:p>
    <w:p w14:paraId="68C233A6">
      <w:pPr>
        <w:keepNext w:val="0"/>
        <w:keepLines w:val="0"/>
        <w:pageBreakBefore w:val="0"/>
        <w:numPr>
          <w:ilvl w:val="0"/>
          <w:numId w:val="0"/>
        </w:numPr>
        <w:kinsoku/>
        <w:wordWrap/>
        <w:overflowPunct/>
        <w:topLinePunct w:val="0"/>
        <w:bidi w:val="0"/>
        <w:adjustRightInd/>
        <w:snapToGrid/>
        <w:spacing w:line="360" w:lineRule="auto"/>
        <w:rPr>
          <w:rFonts w:hint="eastAsia" w:ascii="宋体" w:hAnsi="宋体" w:cs="宋体"/>
          <w:b/>
          <w:sz w:val="28"/>
          <w:szCs w:val="28"/>
          <w:highlight w:val="none"/>
        </w:rPr>
      </w:pPr>
      <w:r>
        <w:rPr>
          <w:rFonts w:hint="eastAsia" w:ascii="宋体" w:hAnsi="宋体" w:cs="宋体"/>
          <w:b/>
          <w:sz w:val="28"/>
          <w:szCs w:val="28"/>
          <w:highlight w:val="none"/>
          <w:lang w:val="en-US" w:eastAsia="zh-CN"/>
        </w:rPr>
        <w:t>三、</w:t>
      </w:r>
      <w:r>
        <w:rPr>
          <w:rFonts w:hint="eastAsia" w:ascii="宋体" w:hAnsi="宋体" w:cs="宋体"/>
          <w:b/>
          <w:sz w:val="28"/>
          <w:szCs w:val="28"/>
          <w:highlight w:val="none"/>
        </w:rPr>
        <w:t>工程技术</w:t>
      </w:r>
      <w:r>
        <w:rPr>
          <w:rFonts w:hint="eastAsia" w:ascii="宋体" w:hAnsi="宋体" w:cs="宋体"/>
          <w:b/>
          <w:sz w:val="28"/>
          <w:szCs w:val="28"/>
          <w:highlight w:val="none"/>
          <w:lang w:val="en-US" w:eastAsia="zh-CN"/>
        </w:rPr>
        <w:t>与售后</w:t>
      </w:r>
      <w:r>
        <w:rPr>
          <w:rFonts w:hint="eastAsia" w:ascii="宋体" w:hAnsi="宋体" w:cs="宋体"/>
          <w:b/>
          <w:sz w:val="28"/>
          <w:szCs w:val="28"/>
          <w:highlight w:val="none"/>
        </w:rPr>
        <w:t>服务</w:t>
      </w:r>
    </w:p>
    <w:p w14:paraId="3CD47E18">
      <w:pPr>
        <w:keepNext w:val="0"/>
        <w:keepLines w:val="0"/>
        <w:pageBreakBefore w:val="0"/>
        <w:numPr>
          <w:ilvl w:val="0"/>
          <w:numId w:val="0"/>
        </w:numPr>
        <w:kinsoku/>
        <w:wordWrap/>
        <w:overflowPunct/>
        <w:topLinePunct w:val="0"/>
        <w:bidi w:val="0"/>
        <w:adjustRightInd/>
        <w:snapToGrid/>
        <w:spacing w:line="360" w:lineRule="auto"/>
        <w:ind w:left="-5" w:leftChars="0"/>
        <w:rPr>
          <w:sz w:val="24"/>
        </w:rPr>
      </w:pPr>
      <w:r>
        <w:rPr>
          <w:rFonts w:hint="eastAsia" w:ascii="宋体" w:hAnsi="宋体" w:eastAsia="宋体" w:cs="宋体"/>
          <w:sz w:val="24"/>
          <w:szCs w:val="28"/>
          <w:lang w:val="en-US" w:eastAsia="zh-CN"/>
        </w:rPr>
        <w:t xml:space="preserve">3.1 </w:t>
      </w:r>
      <w:r>
        <w:rPr>
          <w:rFonts w:hint="eastAsia" w:ascii="宋体" w:hAnsi="宋体" w:eastAsia="宋体" w:cs="宋体"/>
          <w:sz w:val="24"/>
          <w:szCs w:val="28"/>
        </w:rPr>
        <w:t>投标</w:t>
      </w:r>
      <w:r>
        <w:rPr>
          <w:rFonts w:ascii="宋体" w:hAnsi="宋体" w:eastAsia="宋体" w:cs="宋体"/>
          <w:sz w:val="24"/>
          <w:szCs w:val="28"/>
        </w:rPr>
        <w:t>方派遣合格的现场技术服务人员负责设备的现场指导</w:t>
      </w:r>
      <w:r>
        <w:rPr>
          <w:rFonts w:hint="eastAsia" w:ascii="宋体" w:hAnsi="宋体" w:eastAsia="宋体" w:cs="宋体"/>
          <w:sz w:val="24"/>
          <w:szCs w:val="28"/>
        </w:rPr>
        <w:t>、</w:t>
      </w:r>
      <w:r>
        <w:rPr>
          <w:rFonts w:ascii="宋体" w:hAnsi="宋体" w:eastAsia="宋体" w:cs="宋体"/>
          <w:sz w:val="24"/>
          <w:szCs w:val="28"/>
        </w:rPr>
        <w:t>安装、调试工作。预估的工作内容、人员和时间见下表。</w:t>
      </w:r>
    </w:p>
    <w:tbl>
      <w:tblPr>
        <w:tblStyle w:val="43"/>
        <w:tblW w:w="862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897"/>
        <w:gridCol w:w="1289"/>
        <w:gridCol w:w="1424"/>
        <w:gridCol w:w="1439"/>
        <w:gridCol w:w="1689"/>
      </w:tblGrid>
      <w:tr w14:paraId="18E71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84" w:type="dxa"/>
            <w:vMerge w:val="restart"/>
            <w:tcBorders>
              <w:top w:val="single" w:color="000000" w:sz="2" w:space="0"/>
              <w:left w:val="single" w:color="000000" w:sz="2" w:space="0"/>
              <w:bottom w:val="nil"/>
            </w:tcBorders>
            <w:noWrap w:val="0"/>
            <w:vAlign w:val="top"/>
          </w:tcPr>
          <w:p w14:paraId="30A57749">
            <w:pPr>
              <w:keepNext w:val="0"/>
              <w:keepLines w:val="0"/>
              <w:pageBreakBefore w:val="0"/>
              <w:kinsoku/>
              <w:wordWrap/>
              <w:overflowPunct/>
              <w:topLinePunct w:val="0"/>
              <w:bidi w:val="0"/>
              <w:adjustRightInd/>
              <w:snapToGrid/>
              <w:spacing w:line="360" w:lineRule="auto"/>
              <w:rPr>
                <w:rFonts w:ascii="Arial"/>
              </w:rPr>
            </w:pPr>
          </w:p>
          <w:p w14:paraId="4DB76AFE">
            <w:pPr>
              <w:pStyle w:val="44"/>
              <w:keepNext w:val="0"/>
              <w:keepLines w:val="0"/>
              <w:pageBreakBefore w:val="0"/>
              <w:kinsoku/>
              <w:wordWrap/>
              <w:overflowPunct/>
              <w:topLinePunct w:val="0"/>
              <w:bidi w:val="0"/>
              <w:adjustRightInd/>
              <w:snapToGrid/>
              <w:spacing w:before="120" w:line="360" w:lineRule="auto"/>
              <w:ind w:left="103"/>
              <w:rPr>
                <w:rFonts w:hint="eastAsia"/>
                <w:sz w:val="28"/>
                <w:szCs w:val="28"/>
              </w:rPr>
            </w:pPr>
            <w:r>
              <w:rPr>
                <w:rFonts w:hint="eastAsia" w:ascii="宋体" w:hAnsi="宋体" w:eastAsia="宋体" w:cs="宋体"/>
                <w:spacing w:val="-1"/>
              </w:rPr>
              <w:t>序号</w:t>
            </w:r>
          </w:p>
        </w:tc>
        <w:tc>
          <w:tcPr>
            <w:tcW w:w="1897" w:type="dxa"/>
            <w:vMerge w:val="restart"/>
            <w:tcBorders>
              <w:top w:val="single" w:color="000000" w:sz="2" w:space="0"/>
              <w:bottom w:val="nil"/>
            </w:tcBorders>
            <w:noWrap w:val="0"/>
            <w:vAlign w:val="top"/>
          </w:tcPr>
          <w:p w14:paraId="6C54F31D">
            <w:pPr>
              <w:keepNext w:val="0"/>
              <w:keepLines w:val="0"/>
              <w:pageBreakBefore w:val="0"/>
              <w:kinsoku/>
              <w:wordWrap/>
              <w:overflowPunct/>
              <w:topLinePunct w:val="0"/>
              <w:bidi w:val="0"/>
              <w:adjustRightInd/>
              <w:snapToGrid/>
              <w:spacing w:line="360" w:lineRule="auto"/>
              <w:rPr>
                <w:rFonts w:ascii="Arial"/>
              </w:rPr>
            </w:pPr>
          </w:p>
          <w:p w14:paraId="1E71452D">
            <w:pPr>
              <w:pStyle w:val="44"/>
              <w:keepNext w:val="0"/>
              <w:keepLines w:val="0"/>
              <w:pageBreakBefore w:val="0"/>
              <w:kinsoku/>
              <w:wordWrap/>
              <w:overflowPunct/>
              <w:topLinePunct w:val="0"/>
              <w:bidi w:val="0"/>
              <w:adjustRightInd/>
              <w:snapToGrid/>
              <w:spacing w:before="120" w:line="360" w:lineRule="auto"/>
              <w:ind w:left="103"/>
              <w:rPr>
                <w:rFonts w:hint="eastAsia"/>
                <w:sz w:val="28"/>
                <w:szCs w:val="28"/>
              </w:rPr>
            </w:pPr>
            <w:r>
              <w:rPr>
                <w:rFonts w:hint="eastAsia" w:ascii="宋体" w:hAnsi="宋体" w:eastAsia="宋体" w:cs="宋体"/>
                <w:spacing w:val="-1"/>
              </w:rPr>
              <w:t>技术服务内容</w:t>
            </w:r>
          </w:p>
        </w:tc>
        <w:tc>
          <w:tcPr>
            <w:tcW w:w="4152" w:type="dxa"/>
            <w:gridSpan w:val="3"/>
            <w:tcBorders>
              <w:top w:val="single" w:color="000000" w:sz="2" w:space="0"/>
            </w:tcBorders>
            <w:noWrap w:val="0"/>
            <w:vAlign w:val="top"/>
          </w:tcPr>
          <w:p w14:paraId="457848BF">
            <w:pPr>
              <w:pStyle w:val="44"/>
              <w:keepNext w:val="0"/>
              <w:keepLines w:val="0"/>
              <w:pageBreakBefore w:val="0"/>
              <w:kinsoku/>
              <w:wordWrap/>
              <w:overflowPunct/>
              <w:topLinePunct w:val="0"/>
              <w:bidi w:val="0"/>
              <w:adjustRightInd/>
              <w:snapToGrid/>
              <w:spacing w:before="120" w:line="360" w:lineRule="auto"/>
              <w:ind w:left="103"/>
              <w:rPr>
                <w:rFonts w:hint="eastAsia"/>
                <w:sz w:val="28"/>
                <w:szCs w:val="28"/>
              </w:rPr>
            </w:pPr>
            <w:r>
              <w:rPr>
                <w:rFonts w:hint="eastAsia" w:ascii="宋体" w:hAnsi="宋体" w:eastAsia="宋体" w:cs="宋体"/>
                <w:spacing w:val="-1"/>
              </w:rPr>
              <w:t>派出人员构成</w:t>
            </w:r>
          </w:p>
        </w:tc>
        <w:tc>
          <w:tcPr>
            <w:tcW w:w="1689" w:type="dxa"/>
            <w:vMerge w:val="restart"/>
            <w:tcBorders>
              <w:top w:val="single" w:color="000000" w:sz="2" w:space="0"/>
              <w:bottom w:val="nil"/>
              <w:right w:val="single" w:color="000000" w:sz="2" w:space="0"/>
            </w:tcBorders>
            <w:noWrap w:val="0"/>
            <w:vAlign w:val="top"/>
          </w:tcPr>
          <w:p w14:paraId="6050E73B">
            <w:pPr>
              <w:keepNext w:val="0"/>
              <w:keepLines w:val="0"/>
              <w:pageBreakBefore w:val="0"/>
              <w:kinsoku/>
              <w:wordWrap/>
              <w:overflowPunct/>
              <w:topLinePunct w:val="0"/>
              <w:bidi w:val="0"/>
              <w:adjustRightInd/>
              <w:snapToGrid/>
              <w:spacing w:line="360" w:lineRule="auto"/>
              <w:rPr>
                <w:rFonts w:ascii="Arial"/>
              </w:rPr>
            </w:pPr>
          </w:p>
          <w:p w14:paraId="18E1610F">
            <w:pPr>
              <w:pStyle w:val="44"/>
              <w:keepNext w:val="0"/>
              <w:keepLines w:val="0"/>
              <w:pageBreakBefore w:val="0"/>
              <w:kinsoku/>
              <w:wordWrap/>
              <w:overflowPunct/>
              <w:topLinePunct w:val="0"/>
              <w:bidi w:val="0"/>
              <w:adjustRightInd/>
              <w:snapToGrid/>
              <w:spacing w:before="120" w:line="360" w:lineRule="auto"/>
              <w:ind w:left="103"/>
              <w:rPr>
                <w:rFonts w:hint="eastAsia"/>
                <w:sz w:val="28"/>
                <w:szCs w:val="28"/>
              </w:rPr>
            </w:pPr>
            <w:r>
              <w:rPr>
                <w:rFonts w:hint="eastAsia" w:ascii="宋体" w:hAnsi="宋体" w:eastAsia="宋体" w:cs="宋体"/>
                <w:spacing w:val="-1"/>
              </w:rPr>
              <w:t>备注</w:t>
            </w:r>
          </w:p>
        </w:tc>
      </w:tr>
      <w:tr w14:paraId="094F2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884" w:type="dxa"/>
            <w:vMerge w:val="continue"/>
            <w:tcBorders>
              <w:top w:val="nil"/>
              <w:left w:val="single" w:color="000000" w:sz="2" w:space="0"/>
            </w:tcBorders>
            <w:noWrap w:val="0"/>
            <w:vAlign w:val="top"/>
          </w:tcPr>
          <w:p w14:paraId="78553E81">
            <w:pPr>
              <w:keepNext w:val="0"/>
              <w:keepLines w:val="0"/>
              <w:pageBreakBefore w:val="0"/>
              <w:kinsoku/>
              <w:wordWrap/>
              <w:overflowPunct/>
              <w:topLinePunct w:val="0"/>
              <w:bidi w:val="0"/>
              <w:adjustRightInd/>
              <w:snapToGrid/>
              <w:spacing w:line="360" w:lineRule="auto"/>
              <w:rPr>
                <w:rFonts w:ascii="Arial"/>
              </w:rPr>
            </w:pPr>
          </w:p>
        </w:tc>
        <w:tc>
          <w:tcPr>
            <w:tcW w:w="1897" w:type="dxa"/>
            <w:vMerge w:val="continue"/>
            <w:tcBorders>
              <w:top w:val="nil"/>
            </w:tcBorders>
            <w:noWrap w:val="0"/>
            <w:vAlign w:val="top"/>
          </w:tcPr>
          <w:p w14:paraId="76F5BC8A">
            <w:pPr>
              <w:keepNext w:val="0"/>
              <w:keepLines w:val="0"/>
              <w:pageBreakBefore w:val="0"/>
              <w:kinsoku/>
              <w:wordWrap/>
              <w:overflowPunct/>
              <w:topLinePunct w:val="0"/>
              <w:bidi w:val="0"/>
              <w:adjustRightInd/>
              <w:snapToGrid/>
              <w:spacing w:line="360" w:lineRule="auto"/>
              <w:rPr>
                <w:rFonts w:ascii="Arial"/>
              </w:rPr>
            </w:pPr>
          </w:p>
        </w:tc>
        <w:tc>
          <w:tcPr>
            <w:tcW w:w="1289" w:type="dxa"/>
            <w:noWrap w:val="0"/>
            <w:vAlign w:val="top"/>
          </w:tcPr>
          <w:p w14:paraId="69FAB25C">
            <w:pPr>
              <w:pStyle w:val="44"/>
              <w:keepNext w:val="0"/>
              <w:keepLines w:val="0"/>
              <w:pageBreakBefore w:val="0"/>
              <w:kinsoku/>
              <w:wordWrap/>
              <w:overflowPunct/>
              <w:topLinePunct w:val="0"/>
              <w:bidi w:val="0"/>
              <w:adjustRightInd/>
              <w:snapToGrid/>
              <w:spacing w:before="120" w:line="360" w:lineRule="auto"/>
              <w:ind w:left="103"/>
              <w:rPr>
                <w:rFonts w:hint="eastAsia" w:ascii="宋体" w:hAnsi="宋体" w:eastAsia="宋体" w:cs="宋体"/>
                <w:spacing w:val="-1"/>
              </w:rPr>
            </w:pPr>
            <w:r>
              <w:rPr>
                <w:rFonts w:hint="eastAsia" w:ascii="宋体" w:hAnsi="宋体" w:eastAsia="宋体" w:cs="宋体"/>
                <w:spacing w:val="-1"/>
              </w:rPr>
              <w:t>职称</w:t>
            </w:r>
          </w:p>
        </w:tc>
        <w:tc>
          <w:tcPr>
            <w:tcW w:w="1424" w:type="dxa"/>
            <w:noWrap w:val="0"/>
            <w:vAlign w:val="top"/>
          </w:tcPr>
          <w:p w14:paraId="54EB85A6">
            <w:pPr>
              <w:pStyle w:val="44"/>
              <w:keepNext w:val="0"/>
              <w:keepLines w:val="0"/>
              <w:pageBreakBefore w:val="0"/>
              <w:kinsoku/>
              <w:wordWrap/>
              <w:overflowPunct/>
              <w:topLinePunct w:val="0"/>
              <w:bidi w:val="0"/>
              <w:adjustRightInd/>
              <w:snapToGrid/>
              <w:spacing w:before="120" w:line="360" w:lineRule="auto"/>
              <w:ind w:left="103"/>
              <w:rPr>
                <w:rFonts w:hint="eastAsia" w:ascii="宋体" w:hAnsi="宋体" w:eastAsia="宋体" w:cs="宋体"/>
                <w:spacing w:val="-1"/>
              </w:rPr>
            </w:pPr>
            <w:r>
              <w:rPr>
                <w:rFonts w:hint="eastAsia" w:ascii="宋体" w:hAnsi="宋体" w:eastAsia="宋体" w:cs="宋体"/>
                <w:spacing w:val="-1"/>
              </w:rPr>
              <w:t>人数</w:t>
            </w:r>
          </w:p>
        </w:tc>
        <w:tc>
          <w:tcPr>
            <w:tcW w:w="1439" w:type="dxa"/>
            <w:noWrap w:val="0"/>
            <w:vAlign w:val="top"/>
          </w:tcPr>
          <w:p w14:paraId="50F74EF7">
            <w:pPr>
              <w:pStyle w:val="44"/>
              <w:keepNext w:val="0"/>
              <w:keepLines w:val="0"/>
              <w:pageBreakBefore w:val="0"/>
              <w:kinsoku/>
              <w:wordWrap/>
              <w:overflowPunct/>
              <w:topLinePunct w:val="0"/>
              <w:bidi w:val="0"/>
              <w:adjustRightInd/>
              <w:snapToGrid/>
              <w:spacing w:before="120" w:line="360" w:lineRule="auto"/>
              <w:ind w:left="103"/>
              <w:rPr>
                <w:rFonts w:hint="eastAsia" w:ascii="宋体" w:hAnsi="宋体" w:eastAsia="宋体" w:cs="宋体"/>
                <w:spacing w:val="-1"/>
              </w:rPr>
            </w:pPr>
            <w:r>
              <w:rPr>
                <w:rFonts w:hint="eastAsia" w:ascii="宋体" w:hAnsi="宋体" w:eastAsia="宋体" w:cs="宋体"/>
                <w:spacing w:val="-1"/>
              </w:rPr>
              <w:t>时间</w:t>
            </w:r>
          </w:p>
        </w:tc>
        <w:tc>
          <w:tcPr>
            <w:tcW w:w="1689" w:type="dxa"/>
            <w:vMerge w:val="continue"/>
            <w:tcBorders>
              <w:top w:val="nil"/>
              <w:right w:val="single" w:color="000000" w:sz="2" w:space="0"/>
            </w:tcBorders>
            <w:noWrap w:val="0"/>
            <w:vAlign w:val="top"/>
          </w:tcPr>
          <w:p w14:paraId="39376ABE">
            <w:pPr>
              <w:keepNext w:val="0"/>
              <w:keepLines w:val="0"/>
              <w:pageBreakBefore w:val="0"/>
              <w:kinsoku/>
              <w:wordWrap/>
              <w:overflowPunct/>
              <w:topLinePunct w:val="0"/>
              <w:bidi w:val="0"/>
              <w:adjustRightInd/>
              <w:snapToGrid/>
              <w:spacing w:line="360" w:lineRule="auto"/>
              <w:rPr>
                <w:rFonts w:ascii="Arial"/>
              </w:rPr>
            </w:pPr>
          </w:p>
        </w:tc>
      </w:tr>
      <w:tr w14:paraId="2360F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884" w:type="dxa"/>
            <w:tcBorders>
              <w:left w:val="single" w:color="000000" w:sz="2" w:space="0"/>
            </w:tcBorders>
            <w:noWrap w:val="0"/>
            <w:vAlign w:val="top"/>
          </w:tcPr>
          <w:p w14:paraId="44B3665F">
            <w:pPr>
              <w:pStyle w:val="44"/>
              <w:keepNext w:val="0"/>
              <w:keepLines w:val="0"/>
              <w:pageBreakBefore w:val="0"/>
              <w:kinsoku/>
              <w:wordWrap/>
              <w:overflowPunct/>
              <w:topLinePunct w:val="0"/>
              <w:bidi w:val="0"/>
              <w:adjustRightInd/>
              <w:snapToGrid/>
              <w:spacing w:before="220" w:line="360" w:lineRule="auto"/>
              <w:ind w:left="147"/>
              <w:rPr>
                <w:rFonts w:hint="eastAsia" w:ascii="宋体" w:hAnsi="宋体" w:eastAsia="宋体" w:cs="宋体"/>
              </w:rPr>
            </w:pPr>
            <w:r>
              <w:rPr>
                <w:rFonts w:hint="eastAsia" w:ascii="宋体" w:hAnsi="宋体" w:eastAsia="宋体" w:cs="宋体"/>
              </w:rPr>
              <w:t>1</w:t>
            </w:r>
          </w:p>
        </w:tc>
        <w:tc>
          <w:tcPr>
            <w:tcW w:w="1897" w:type="dxa"/>
            <w:noWrap w:val="0"/>
            <w:vAlign w:val="top"/>
          </w:tcPr>
          <w:p w14:paraId="096622DA">
            <w:pPr>
              <w:pStyle w:val="44"/>
              <w:keepNext w:val="0"/>
              <w:keepLines w:val="0"/>
              <w:pageBreakBefore w:val="0"/>
              <w:kinsoku/>
              <w:wordWrap/>
              <w:overflowPunct/>
              <w:topLinePunct w:val="0"/>
              <w:bidi w:val="0"/>
              <w:adjustRightInd/>
              <w:snapToGrid/>
              <w:spacing w:before="202" w:line="360" w:lineRule="auto"/>
              <w:ind w:left="103"/>
              <w:rPr>
                <w:rFonts w:hint="eastAsia" w:ascii="宋体" w:hAnsi="宋体" w:eastAsia="宋体" w:cs="宋体"/>
              </w:rPr>
            </w:pPr>
            <w:r>
              <w:rPr>
                <w:rFonts w:hint="eastAsia" w:ascii="宋体" w:hAnsi="宋体" w:eastAsia="宋体" w:cs="宋体"/>
                <w:spacing w:val="-1"/>
              </w:rPr>
              <w:t>现场考察</w:t>
            </w:r>
          </w:p>
        </w:tc>
        <w:tc>
          <w:tcPr>
            <w:tcW w:w="1289" w:type="dxa"/>
            <w:vMerge w:val="restart"/>
            <w:tcBorders>
              <w:bottom w:val="nil"/>
            </w:tcBorders>
            <w:noWrap w:val="0"/>
            <w:vAlign w:val="top"/>
          </w:tcPr>
          <w:p w14:paraId="203B3423">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4E83B97E">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062DFE59">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4491E06B">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45A7F41A">
            <w:pPr>
              <w:pStyle w:val="44"/>
              <w:keepNext w:val="0"/>
              <w:keepLines w:val="0"/>
              <w:pageBreakBefore w:val="0"/>
              <w:kinsoku/>
              <w:wordWrap/>
              <w:overflowPunct/>
              <w:topLinePunct w:val="0"/>
              <w:bidi w:val="0"/>
              <w:adjustRightInd/>
              <w:snapToGrid/>
              <w:spacing w:before="120" w:line="360" w:lineRule="auto"/>
              <w:ind w:left="109"/>
              <w:rPr>
                <w:rFonts w:hint="eastAsia" w:ascii="宋体" w:hAnsi="宋体" w:eastAsia="宋体" w:cs="宋体"/>
              </w:rPr>
            </w:pPr>
            <w:r>
              <w:rPr>
                <w:rFonts w:hint="eastAsia" w:ascii="宋体" w:hAnsi="宋体" w:eastAsia="宋体" w:cs="宋体"/>
                <w:spacing w:val="-3"/>
              </w:rPr>
              <w:t>工程师</w:t>
            </w:r>
          </w:p>
        </w:tc>
        <w:tc>
          <w:tcPr>
            <w:tcW w:w="1424" w:type="dxa"/>
            <w:vMerge w:val="restart"/>
            <w:tcBorders>
              <w:bottom w:val="nil"/>
            </w:tcBorders>
            <w:noWrap w:val="0"/>
            <w:vAlign w:val="top"/>
          </w:tcPr>
          <w:p w14:paraId="43896DB0">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43F76F32">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2A23DAC2">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7D1D5736">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6D0CA417">
            <w:pPr>
              <w:pStyle w:val="44"/>
              <w:keepNext w:val="0"/>
              <w:keepLines w:val="0"/>
              <w:pageBreakBefore w:val="0"/>
              <w:kinsoku/>
              <w:wordWrap/>
              <w:overflowPunct/>
              <w:topLinePunct w:val="0"/>
              <w:bidi w:val="0"/>
              <w:adjustRightInd/>
              <w:snapToGrid/>
              <w:spacing w:before="120" w:line="360" w:lineRule="auto"/>
              <w:ind w:left="120"/>
              <w:rPr>
                <w:rFonts w:hint="eastAsia" w:ascii="宋体" w:hAnsi="宋体" w:eastAsia="宋体" w:cs="宋体"/>
              </w:rPr>
            </w:pPr>
            <w:r>
              <w:rPr>
                <w:rFonts w:hint="eastAsia" w:ascii="宋体" w:hAnsi="宋体" w:eastAsia="宋体" w:cs="宋体"/>
                <w:spacing w:val="-4"/>
                <w:lang w:val="en-US" w:eastAsia="zh-CN"/>
              </w:rPr>
              <w:t>1-2</w:t>
            </w:r>
            <w:r>
              <w:rPr>
                <w:rFonts w:hint="eastAsia" w:ascii="宋体" w:hAnsi="宋体" w:eastAsia="宋体" w:cs="宋体"/>
                <w:spacing w:val="-11"/>
              </w:rPr>
              <w:t xml:space="preserve"> </w:t>
            </w:r>
            <w:r>
              <w:rPr>
                <w:rFonts w:hint="eastAsia" w:ascii="宋体" w:hAnsi="宋体" w:eastAsia="宋体" w:cs="宋体"/>
                <w:spacing w:val="-4"/>
              </w:rPr>
              <w:t>人</w:t>
            </w:r>
          </w:p>
        </w:tc>
        <w:tc>
          <w:tcPr>
            <w:tcW w:w="1439" w:type="dxa"/>
            <w:vMerge w:val="restart"/>
            <w:tcBorders>
              <w:bottom w:val="nil"/>
            </w:tcBorders>
            <w:noWrap w:val="0"/>
            <w:vAlign w:val="top"/>
          </w:tcPr>
          <w:p w14:paraId="4D70ED61">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0E504F6F">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43E67837">
            <w:pPr>
              <w:pStyle w:val="44"/>
              <w:keepNext w:val="0"/>
              <w:keepLines w:val="0"/>
              <w:pageBreakBefore w:val="0"/>
              <w:kinsoku/>
              <w:wordWrap/>
              <w:overflowPunct/>
              <w:topLinePunct w:val="0"/>
              <w:bidi w:val="0"/>
              <w:adjustRightInd/>
              <w:snapToGrid/>
              <w:spacing w:before="120" w:line="360" w:lineRule="auto"/>
              <w:ind w:left="107" w:right="101"/>
              <w:rPr>
                <w:rFonts w:hint="eastAsia" w:ascii="宋体" w:hAnsi="宋体" w:eastAsia="宋体" w:cs="宋体"/>
              </w:rPr>
            </w:pPr>
            <w:r>
              <w:rPr>
                <w:rFonts w:hint="eastAsia" w:ascii="宋体" w:hAnsi="宋体" w:eastAsia="宋体" w:cs="宋体"/>
                <w:spacing w:val="25"/>
              </w:rPr>
              <w:t>根据具体</w:t>
            </w:r>
            <w:r>
              <w:rPr>
                <w:rFonts w:hint="eastAsia" w:ascii="宋体" w:hAnsi="宋体" w:eastAsia="宋体" w:cs="宋体"/>
              </w:rPr>
              <w:t xml:space="preserve"> </w:t>
            </w:r>
            <w:r>
              <w:rPr>
                <w:rFonts w:hint="eastAsia" w:ascii="宋体" w:hAnsi="宋体" w:eastAsia="宋体" w:cs="宋体"/>
                <w:spacing w:val="-1"/>
              </w:rPr>
              <w:t>情况而定</w:t>
            </w:r>
          </w:p>
        </w:tc>
        <w:tc>
          <w:tcPr>
            <w:tcW w:w="1689" w:type="dxa"/>
            <w:vMerge w:val="restart"/>
            <w:tcBorders>
              <w:bottom w:val="nil"/>
              <w:right w:val="single" w:color="000000" w:sz="2" w:space="0"/>
            </w:tcBorders>
            <w:noWrap w:val="0"/>
            <w:vAlign w:val="top"/>
          </w:tcPr>
          <w:p w14:paraId="7F89021C">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62ABF220">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0AB5BE31">
            <w:pPr>
              <w:pStyle w:val="44"/>
              <w:keepNext w:val="0"/>
              <w:keepLines w:val="0"/>
              <w:pageBreakBefore w:val="0"/>
              <w:kinsoku/>
              <w:wordWrap/>
              <w:overflowPunct/>
              <w:topLinePunct w:val="0"/>
              <w:bidi w:val="0"/>
              <w:adjustRightInd/>
              <w:snapToGrid/>
              <w:spacing w:before="120" w:line="360" w:lineRule="auto"/>
              <w:ind w:left="108" w:right="115" w:firstLine="3"/>
              <w:rPr>
                <w:rFonts w:hint="eastAsia" w:ascii="宋体" w:hAnsi="宋体" w:eastAsia="宋体" w:cs="宋体"/>
                <w:lang w:eastAsia="zh-CN"/>
              </w:rPr>
            </w:pPr>
            <w:r>
              <w:rPr>
                <w:rFonts w:hint="eastAsia" w:ascii="宋体" w:hAnsi="宋体" w:eastAsia="宋体" w:cs="宋体"/>
                <w:spacing w:val="10"/>
                <w:lang w:eastAsia="zh-CN"/>
              </w:rPr>
              <w:t>买方负责现</w:t>
            </w:r>
            <w:r>
              <w:rPr>
                <w:rFonts w:hint="eastAsia" w:ascii="宋体" w:hAnsi="宋体" w:eastAsia="宋体" w:cs="宋体"/>
                <w:spacing w:val="3"/>
                <w:lang w:eastAsia="zh-CN"/>
              </w:rPr>
              <w:t xml:space="preserve"> </w:t>
            </w:r>
            <w:r>
              <w:rPr>
                <w:rFonts w:hint="eastAsia" w:ascii="宋体" w:hAnsi="宋体" w:eastAsia="宋体" w:cs="宋体"/>
                <w:spacing w:val="-1"/>
                <w:lang w:eastAsia="zh-CN"/>
              </w:rPr>
              <w:t>场具备条件</w:t>
            </w:r>
          </w:p>
        </w:tc>
      </w:tr>
      <w:tr w14:paraId="362E5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trPr>
        <w:tc>
          <w:tcPr>
            <w:tcW w:w="884" w:type="dxa"/>
            <w:tcBorders>
              <w:left w:val="single" w:color="000000" w:sz="2" w:space="0"/>
            </w:tcBorders>
            <w:noWrap w:val="0"/>
            <w:vAlign w:val="top"/>
          </w:tcPr>
          <w:p w14:paraId="1DE282CC">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2E35DF36">
            <w:pPr>
              <w:pStyle w:val="44"/>
              <w:keepNext w:val="0"/>
              <w:keepLines w:val="0"/>
              <w:pageBreakBefore w:val="0"/>
              <w:kinsoku/>
              <w:wordWrap/>
              <w:overflowPunct/>
              <w:topLinePunct w:val="0"/>
              <w:bidi w:val="0"/>
              <w:adjustRightInd/>
              <w:snapToGrid/>
              <w:spacing w:before="120" w:line="360" w:lineRule="auto"/>
              <w:ind w:left="134"/>
              <w:rPr>
                <w:rFonts w:hint="eastAsia" w:ascii="宋体" w:hAnsi="宋体" w:eastAsia="宋体" w:cs="宋体"/>
              </w:rPr>
            </w:pPr>
            <w:r>
              <w:rPr>
                <w:rFonts w:hint="eastAsia" w:ascii="宋体" w:hAnsi="宋体" w:eastAsia="宋体" w:cs="宋体"/>
              </w:rPr>
              <w:t>2</w:t>
            </w:r>
          </w:p>
        </w:tc>
        <w:tc>
          <w:tcPr>
            <w:tcW w:w="1897" w:type="dxa"/>
            <w:noWrap w:val="0"/>
            <w:vAlign w:val="top"/>
          </w:tcPr>
          <w:p w14:paraId="01F02417">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p w14:paraId="6A4EE71D">
            <w:pPr>
              <w:pStyle w:val="44"/>
              <w:keepNext w:val="0"/>
              <w:keepLines w:val="0"/>
              <w:pageBreakBefore w:val="0"/>
              <w:kinsoku/>
              <w:wordWrap/>
              <w:overflowPunct/>
              <w:topLinePunct w:val="0"/>
              <w:bidi w:val="0"/>
              <w:adjustRightInd/>
              <w:snapToGrid/>
              <w:spacing w:before="120" w:line="360" w:lineRule="auto"/>
              <w:ind w:left="103"/>
              <w:rPr>
                <w:rFonts w:hint="eastAsia" w:ascii="宋体" w:hAnsi="宋体" w:eastAsia="宋体" w:cs="宋体"/>
              </w:rPr>
            </w:pPr>
            <w:r>
              <w:rPr>
                <w:rFonts w:hint="eastAsia" w:ascii="宋体" w:hAnsi="宋体" w:eastAsia="宋体" w:cs="宋体"/>
                <w:spacing w:val="-1"/>
              </w:rPr>
              <w:t>系统安装指导</w:t>
            </w:r>
          </w:p>
        </w:tc>
        <w:tc>
          <w:tcPr>
            <w:tcW w:w="1289" w:type="dxa"/>
            <w:vMerge w:val="continue"/>
            <w:tcBorders>
              <w:top w:val="nil"/>
              <w:bottom w:val="nil"/>
            </w:tcBorders>
            <w:noWrap w:val="0"/>
            <w:vAlign w:val="top"/>
          </w:tcPr>
          <w:p w14:paraId="59107FD6">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c>
          <w:tcPr>
            <w:tcW w:w="1424" w:type="dxa"/>
            <w:vMerge w:val="continue"/>
            <w:tcBorders>
              <w:top w:val="nil"/>
              <w:bottom w:val="nil"/>
            </w:tcBorders>
            <w:noWrap w:val="0"/>
            <w:vAlign w:val="top"/>
          </w:tcPr>
          <w:p w14:paraId="76E63D8B">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c>
          <w:tcPr>
            <w:tcW w:w="1439" w:type="dxa"/>
            <w:vMerge w:val="continue"/>
            <w:tcBorders>
              <w:top w:val="nil"/>
              <w:bottom w:val="nil"/>
            </w:tcBorders>
            <w:noWrap w:val="0"/>
            <w:vAlign w:val="top"/>
          </w:tcPr>
          <w:p w14:paraId="1B7269F4">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c>
          <w:tcPr>
            <w:tcW w:w="1689" w:type="dxa"/>
            <w:vMerge w:val="continue"/>
            <w:tcBorders>
              <w:top w:val="nil"/>
              <w:bottom w:val="nil"/>
              <w:right w:val="single" w:color="000000" w:sz="2" w:space="0"/>
            </w:tcBorders>
            <w:noWrap w:val="0"/>
            <w:vAlign w:val="top"/>
          </w:tcPr>
          <w:p w14:paraId="321E85F8">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r>
      <w:tr w14:paraId="2BD46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84" w:type="dxa"/>
            <w:tcBorders>
              <w:left w:val="single" w:color="000000" w:sz="2" w:space="0"/>
              <w:bottom w:val="single" w:color="000000" w:sz="2" w:space="0"/>
            </w:tcBorders>
            <w:noWrap w:val="0"/>
            <w:vAlign w:val="top"/>
          </w:tcPr>
          <w:p w14:paraId="161340D9">
            <w:pPr>
              <w:pStyle w:val="44"/>
              <w:keepNext w:val="0"/>
              <w:keepLines w:val="0"/>
              <w:pageBreakBefore w:val="0"/>
              <w:kinsoku/>
              <w:wordWrap/>
              <w:overflowPunct/>
              <w:topLinePunct w:val="0"/>
              <w:bidi w:val="0"/>
              <w:adjustRightInd/>
              <w:snapToGrid/>
              <w:spacing w:before="300" w:line="360" w:lineRule="auto"/>
              <w:ind w:left="137"/>
              <w:rPr>
                <w:rFonts w:hint="eastAsia" w:ascii="宋体" w:hAnsi="宋体" w:eastAsia="宋体" w:cs="宋体"/>
              </w:rPr>
            </w:pPr>
            <w:r>
              <w:rPr>
                <w:rFonts w:hint="eastAsia" w:ascii="宋体" w:hAnsi="宋体" w:eastAsia="宋体" w:cs="宋体"/>
              </w:rPr>
              <w:t>3</w:t>
            </w:r>
          </w:p>
        </w:tc>
        <w:tc>
          <w:tcPr>
            <w:tcW w:w="1897" w:type="dxa"/>
            <w:tcBorders>
              <w:bottom w:val="single" w:color="000000" w:sz="2" w:space="0"/>
            </w:tcBorders>
            <w:noWrap w:val="0"/>
            <w:vAlign w:val="top"/>
          </w:tcPr>
          <w:p w14:paraId="6202B69A">
            <w:pPr>
              <w:pStyle w:val="44"/>
              <w:keepNext w:val="0"/>
              <w:keepLines w:val="0"/>
              <w:pageBreakBefore w:val="0"/>
              <w:kinsoku/>
              <w:wordWrap/>
              <w:overflowPunct/>
              <w:topLinePunct w:val="0"/>
              <w:bidi w:val="0"/>
              <w:adjustRightInd/>
              <w:snapToGrid/>
              <w:spacing w:before="280" w:line="360" w:lineRule="auto"/>
              <w:ind w:left="103"/>
              <w:rPr>
                <w:rFonts w:hint="eastAsia" w:ascii="宋体" w:hAnsi="宋体" w:eastAsia="宋体" w:cs="宋体"/>
              </w:rPr>
            </w:pPr>
            <w:r>
              <w:rPr>
                <w:rFonts w:hint="eastAsia" w:ascii="宋体" w:hAnsi="宋体" w:eastAsia="宋体" w:cs="宋体"/>
                <w:spacing w:val="-1"/>
              </w:rPr>
              <w:t>系统调试</w:t>
            </w:r>
          </w:p>
        </w:tc>
        <w:tc>
          <w:tcPr>
            <w:tcW w:w="1289" w:type="dxa"/>
            <w:vMerge w:val="continue"/>
            <w:tcBorders>
              <w:top w:val="nil"/>
              <w:bottom w:val="single" w:color="000000" w:sz="2" w:space="0"/>
            </w:tcBorders>
            <w:noWrap w:val="0"/>
            <w:vAlign w:val="top"/>
          </w:tcPr>
          <w:p w14:paraId="6859B3BF">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c>
          <w:tcPr>
            <w:tcW w:w="1424" w:type="dxa"/>
            <w:vMerge w:val="continue"/>
            <w:tcBorders>
              <w:top w:val="nil"/>
              <w:bottom w:val="single" w:color="000000" w:sz="2" w:space="0"/>
            </w:tcBorders>
            <w:noWrap w:val="0"/>
            <w:vAlign w:val="top"/>
          </w:tcPr>
          <w:p w14:paraId="7490DC46">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c>
          <w:tcPr>
            <w:tcW w:w="1439" w:type="dxa"/>
            <w:vMerge w:val="continue"/>
            <w:tcBorders>
              <w:top w:val="nil"/>
              <w:bottom w:val="single" w:color="000000" w:sz="2" w:space="0"/>
            </w:tcBorders>
            <w:noWrap w:val="0"/>
            <w:vAlign w:val="top"/>
          </w:tcPr>
          <w:p w14:paraId="1741848B">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c>
          <w:tcPr>
            <w:tcW w:w="1689" w:type="dxa"/>
            <w:vMerge w:val="continue"/>
            <w:tcBorders>
              <w:top w:val="nil"/>
              <w:bottom w:val="single" w:color="000000" w:sz="2" w:space="0"/>
              <w:right w:val="single" w:color="000000" w:sz="2" w:space="0"/>
            </w:tcBorders>
            <w:noWrap w:val="0"/>
            <w:vAlign w:val="top"/>
          </w:tcPr>
          <w:p w14:paraId="6FE99A9D">
            <w:pPr>
              <w:keepNext w:val="0"/>
              <w:keepLines w:val="0"/>
              <w:pageBreakBefore w:val="0"/>
              <w:kinsoku/>
              <w:wordWrap/>
              <w:overflowPunct/>
              <w:topLinePunct w:val="0"/>
              <w:bidi w:val="0"/>
              <w:adjustRightInd/>
              <w:snapToGrid/>
              <w:spacing w:line="360" w:lineRule="auto"/>
              <w:rPr>
                <w:rFonts w:hint="eastAsia" w:ascii="宋体" w:hAnsi="宋体" w:eastAsia="宋体" w:cs="宋体"/>
                <w:sz w:val="24"/>
                <w:szCs w:val="24"/>
              </w:rPr>
            </w:pPr>
          </w:p>
        </w:tc>
      </w:tr>
    </w:tbl>
    <w:p w14:paraId="4BDD4A9C">
      <w:pPr>
        <w:keepNext w:val="0"/>
        <w:keepLines w:val="0"/>
        <w:pageBreakBefore w:val="0"/>
        <w:numPr>
          <w:ilvl w:val="0"/>
          <w:numId w:val="0"/>
        </w:numPr>
        <w:kinsoku/>
        <w:wordWrap/>
        <w:overflowPunct/>
        <w:topLinePunct w:val="0"/>
        <w:bidi w:val="0"/>
        <w:adjustRightInd/>
        <w:snapToGrid/>
        <w:spacing w:line="360" w:lineRule="auto"/>
        <w:ind w:left="-5" w:leftChars="0"/>
        <w:rPr>
          <w:sz w:val="24"/>
        </w:rPr>
      </w:pPr>
    </w:p>
    <w:p w14:paraId="1573BAA1">
      <w:pPr>
        <w:keepNext w:val="0"/>
        <w:keepLines w:val="0"/>
        <w:pageBreakBefore w:val="0"/>
        <w:numPr>
          <w:ilvl w:val="0"/>
          <w:numId w:val="0"/>
        </w:numPr>
        <w:kinsoku/>
        <w:wordWrap/>
        <w:overflowPunct/>
        <w:topLinePunct w:val="0"/>
        <w:bidi w:val="0"/>
        <w:adjustRightInd/>
        <w:snapToGrid/>
        <w:spacing w:line="360" w:lineRule="auto"/>
        <w:ind w:left="-5" w:leftChars="0"/>
        <w:rPr>
          <w:sz w:val="24"/>
        </w:rPr>
      </w:pPr>
      <w:r>
        <w:rPr>
          <w:rFonts w:hint="eastAsia"/>
          <w:sz w:val="24"/>
          <w:lang w:val="en-US" w:eastAsia="zh-CN"/>
        </w:rPr>
        <w:t xml:space="preserve">3.2 </w:t>
      </w:r>
      <w:r>
        <w:rPr>
          <w:rFonts w:hint="eastAsia"/>
          <w:sz w:val="24"/>
        </w:rPr>
        <w:t>投标方所提供的设备材料应包括设备运行、维护、调校的说明书，并对需方人员进行培训，提供详细的培训资料。</w:t>
      </w:r>
    </w:p>
    <w:p w14:paraId="65A06988">
      <w:pPr>
        <w:keepNext w:val="0"/>
        <w:keepLines w:val="0"/>
        <w:pageBreakBefore w:val="0"/>
        <w:numPr>
          <w:ilvl w:val="0"/>
          <w:numId w:val="0"/>
        </w:numPr>
        <w:kinsoku/>
        <w:wordWrap/>
        <w:overflowPunct/>
        <w:topLinePunct w:val="0"/>
        <w:bidi w:val="0"/>
        <w:adjustRightInd/>
        <w:snapToGrid/>
        <w:spacing w:line="360" w:lineRule="auto"/>
        <w:ind w:left="-5" w:leftChars="0"/>
        <w:rPr>
          <w:sz w:val="24"/>
        </w:rPr>
      </w:pPr>
      <w:r>
        <w:rPr>
          <w:rFonts w:hint="eastAsia" w:ascii="宋体" w:hAnsi="宋体" w:eastAsia="宋体" w:cs="宋体"/>
          <w:sz w:val="24"/>
          <w:szCs w:val="28"/>
          <w:lang w:val="en-US" w:eastAsia="zh-CN"/>
        </w:rPr>
        <w:t xml:space="preserve">3.3 </w:t>
      </w:r>
      <w:r>
        <w:rPr>
          <w:rFonts w:ascii="宋体" w:hAnsi="宋体" w:eastAsia="宋体" w:cs="宋体"/>
          <w:sz w:val="24"/>
          <w:szCs w:val="28"/>
        </w:rPr>
        <w:t>如果现场需要，供方</w:t>
      </w:r>
      <w:r>
        <w:rPr>
          <w:rFonts w:hint="eastAsia" w:ascii="宋体" w:hAnsi="宋体" w:eastAsia="宋体" w:cs="宋体"/>
          <w:sz w:val="24"/>
          <w:szCs w:val="28"/>
        </w:rPr>
        <w:t>需在</w:t>
      </w:r>
      <w:r>
        <w:rPr>
          <w:rFonts w:ascii="宋体" w:hAnsi="宋体" w:eastAsia="宋体" w:cs="宋体"/>
          <w:sz w:val="24"/>
          <w:szCs w:val="28"/>
        </w:rPr>
        <w:t>接到用户通知后</w:t>
      </w:r>
      <w:r>
        <w:rPr>
          <w:rFonts w:hint="eastAsia" w:ascii="宋体" w:hAnsi="宋体" w:eastAsia="宋体" w:cs="宋体"/>
          <w:sz w:val="24"/>
          <w:szCs w:val="28"/>
        </w:rPr>
        <w:t>8</w:t>
      </w:r>
      <w:r>
        <w:rPr>
          <w:rFonts w:ascii="宋体" w:hAnsi="宋体" w:eastAsia="宋体" w:cs="宋体"/>
          <w:sz w:val="24"/>
          <w:szCs w:val="28"/>
        </w:rPr>
        <w:t>小时内做出响应，48小时内赶到现场并及时处理出现的任何问题。</w:t>
      </w:r>
    </w:p>
    <w:p w14:paraId="796CDFA9">
      <w:pPr>
        <w:keepNext w:val="0"/>
        <w:keepLines w:val="0"/>
        <w:pageBreakBefore w:val="0"/>
        <w:numPr>
          <w:ilvl w:val="0"/>
          <w:numId w:val="0"/>
        </w:numPr>
        <w:kinsoku/>
        <w:wordWrap/>
        <w:overflowPunct/>
        <w:topLinePunct w:val="0"/>
        <w:bidi w:val="0"/>
        <w:adjustRightInd/>
        <w:snapToGrid/>
        <w:spacing w:line="360" w:lineRule="auto"/>
        <w:ind w:left="-5" w:leftChars="0"/>
        <w:rPr>
          <w:sz w:val="24"/>
        </w:rPr>
      </w:pPr>
      <w:r>
        <w:rPr>
          <w:rFonts w:hint="eastAsia"/>
          <w:sz w:val="24"/>
          <w:lang w:val="en-US" w:eastAsia="zh-CN"/>
        </w:rPr>
        <w:t xml:space="preserve">3.4 </w:t>
      </w:r>
      <w:r>
        <w:rPr>
          <w:rFonts w:hint="eastAsia"/>
          <w:sz w:val="24"/>
        </w:rPr>
        <w:t>装箱运输的成套附件，采用同等条件进行包装。</w:t>
      </w:r>
    </w:p>
    <w:p w14:paraId="3D0026AC">
      <w:pPr>
        <w:keepNext w:val="0"/>
        <w:keepLines w:val="0"/>
        <w:pageBreakBefore w:val="0"/>
        <w:numPr>
          <w:ilvl w:val="0"/>
          <w:numId w:val="0"/>
        </w:numPr>
        <w:kinsoku/>
        <w:wordWrap/>
        <w:overflowPunct/>
        <w:topLinePunct w:val="0"/>
        <w:bidi w:val="0"/>
        <w:adjustRightInd/>
        <w:snapToGrid/>
        <w:spacing w:line="360" w:lineRule="auto"/>
        <w:ind w:left="-5" w:leftChars="0"/>
        <w:rPr>
          <w:sz w:val="24"/>
        </w:rPr>
      </w:pPr>
      <w:r>
        <w:rPr>
          <w:rFonts w:hint="eastAsia"/>
          <w:sz w:val="24"/>
          <w:lang w:val="en-US" w:eastAsia="zh-CN"/>
        </w:rPr>
        <w:t xml:space="preserve">3.5 </w:t>
      </w:r>
      <w:r>
        <w:rPr>
          <w:rFonts w:hint="eastAsia"/>
          <w:sz w:val="24"/>
        </w:rPr>
        <w:t>装箱的技术条件有：出厂合格证、安装使用说明书、装箱单。装箱单上并应注明：制造厂名称和地址、产品名称和型号、装箱数量、装箱日期、装箱人工号等。</w:t>
      </w:r>
    </w:p>
    <w:p w14:paraId="4DC72521">
      <w:pPr>
        <w:keepNext w:val="0"/>
        <w:keepLines w:val="0"/>
        <w:pageBreakBefore w:val="0"/>
        <w:numPr>
          <w:ilvl w:val="0"/>
          <w:numId w:val="0"/>
        </w:numPr>
        <w:kinsoku/>
        <w:wordWrap/>
        <w:overflowPunct/>
        <w:topLinePunct w:val="0"/>
        <w:bidi w:val="0"/>
        <w:adjustRightInd/>
        <w:snapToGrid/>
        <w:spacing w:line="360" w:lineRule="auto"/>
        <w:ind w:left="-5" w:leftChars="0"/>
        <w:rPr>
          <w:sz w:val="24"/>
        </w:rPr>
      </w:pPr>
      <w:r>
        <w:rPr>
          <w:rFonts w:hint="eastAsia"/>
          <w:sz w:val="24"/>
          <w:lang w:val="en-US" w:eastAsia="zh-CN"/>
        </w:rPr>
        <w:t xml:space="preserve">3.6 </w:t>
      </w:r>
      <w:r>
        <w:rPr>
          <w:rFonts w:hint="eastAsia"/>
          <w:sz w:val="24"/>
        </w:rPr>
        <w:t>包装箱内装入的零部件必须有明显的标记与标签，注明部件号、编号、名称及数量，标签所标内容应与装箱单一致。</w:t>
      </w:r>
    </w:p>
    <w:p w14:paraId="6A990956">
      <w:pPr>
        <w:keepNext w:val="0"/>
        <w:keepLines w:val="0"/>
        <w:pageBreakBefore w:val="0"/>
        <w:widowControl/>
        <w:numPr>
          <w:ilvl w:val="0"/>
          <w:numId w:val="0"/>
        </w:numPr>
        <w:kinsoku/>
        <w:wordWrap/>
        <w:overflowPunct/>
        <w:topLinePunct w:val="0"/>
        <w:autoSpaceDE w:val="0"/>
        <w:autoSpaceDN w:val="0"/>
        <w:bidi w:val="0"/>
        <w:adjustRightInd/>
        <w:snapToGrid/>
        <w:spacing w:line="360" w:lineRule="auto"/>
        <w:ind w:left="-5" w:leftChars="0"/>
        <w:textAlignment w:val="bottom"/>
        <w:rPr>
          <w:sz w:val="24"/>
        </w:rPr>
      </w:pPr>
      <w:r>
        <w:rPr>
          <w:rFonts w:hint="eastAsia"/>
          <w:sz w:val="24"/>
          <w:lang w:val="en-US" w:eastAsia="zh-CN"/>
        </w:rPr>
        <w:t xml:space="preserve">3.7 </w:t>
      </w:r>
      <w:r>
        <w:rPr>
          <w:rFonts w:hint="eastAsia"/>
          <w:sz w:val="24"/>
        </w:rPr>
        <w:t>投标方保证所提供的设备满足本装置安全、可靠运行的要求，并对</w:t>
      </w:r>
      <w:r>
        <w:rPr>
          <w:rFonts w:hint="eastAsia"/>
          <w:sz w:val="24"/>
          <w:lang w:val="en-US" w:eastAsia="zh-CN"/>
        </w:rPr>
        <w:t>分析仪表</w:t>
      </w:r>
      <w:r>
        <w:rPr>
          <w:rFonts w:hint="eastAsia"/>
          <w:sz w:val="24"/>
        </w:rPr>
        <w:t>的设计、制造、供货、实验、装箱、发运、运行调试等过程全面负责。</w:t>
      </w:r>
    </w:p>
    <w:p w14:paraId="5FC044BA">
      <w:pPr>
        <w:keepNext w:val="0"/>
        <w:keepLines w:val="0"/>
        <w:pageBreakBefore w:val="0"/>
        <w:numPr>
          <w:ilvl w:val="0"/>
          <w:numId w:val="0"/>
        </w:numPr>
        <w:kinsoku/>
        <w:wordWrap/>
        <w:overflowPunct/>
        <w:topLinePunct w:val="0"/>
        <w:bidi w:val="0"/>
        <w:adjustRightInd/>
        <w:snapToGrid/>
        <w:spacing w:line="360" w:lineRule="auto"/>
        <w:ind w:left="-5" w:leftChars="0"/>
        <w:rPr>
          <w:color w:val="FF0000"/>
          <w:sz w:val="24"/>
        </w:rPr>
      </w:pPr>
      <w:r>
        <w:rPr>
          <w:rFonts w:hint="eastAsia"/>
          <w:color w:val="FF0000"/>
          <w:sz w:val="24"/>
          <w:lang w:val="en-US" w:eastAsia="zh-CN"/>
        </w:rPr>
        <w:t xml:space="preserve">3.8 </w:t>
      </w:r>
      <w:r>
        <w:rPr>
          <w:rFonts w:hint="eastAsia"/>
          <w:color w:val="FF0000"/>
          <w:sz w:val="24"/>
        </w:rPr>
        <w:t>保质期为</w:t>
      </w:r>
      <w:r>
        <w:rPr>
          <w:rFonts w:hint="eastAsia"/>
          <w:color w:val="FF0000"/>
          <w:sz w:val="24"/>
          <w:lang w:val="en-US" w:eastAsia="zh-CN"/>
        </w:rPr>
        <w:t>分析仪表正式投运</w:t>
      </w:r>
      <w:r>
        <w:rPr>
          <w:rFonts w:hint="eastAsia"/>
          <w:color w:val="FF0000"/>
          <w:sz w:val="24"/>
        </w:rPr>
        <w:t>后一年，保质期内产品出现质量问题，由投标方处理或重新配供。</w:t>
      </w:r>
    </w:p>
    <w:p w14:paraId="45B0944B">
      <w:pPr>
        <w:spacing w:line="360" w:lineRule="auto"/>
        <w:ind w:left="-17" w:leftChars="-8" w:firstLine="17" w:firstLineChars="6"/>
        <w:rPr>
          <w:rFonts w:ascii="宋体" w:hAnsi="宋体" w:cs="宋体"/>
          <w:b/>
          <w:sz w:val="28"/>
          <w:szCs w:val="28"/>
          <w:highlight w:val="none"/>
        </w:rPr>
      </w:pPr>
      <w:r>
        <w:rPr>
          <w:rFonts w:hint="eastAsia" w:ascii="宋体" w:hAnsi="宋体" w:cs="宋体"/>
          <w:b/>
          <w:sz w:val="28"/>
          <w:szCs w:val="28"/>
          <w:highlight w:val="none"/>
          <w:lang w:val="en-US" w:eastAsia="zh-CN"/>
        </w:rPr>
        <w:t>四</w:t>
      </w:r>
      <w:r>
        <w:rPr>
          <w:rFonts w:hint="eastAsia" w:ascii="宋体" w:hAnsi="宋体" w:cs="宋体"/>
          <w:b/>
          <w:sz w:val="28"/>
          <w:szCs w:val="28"/>
          <w:highlight w:val="none"/>
        </w:rPr>
        <w:t>、供货范围</w:t>
      </w:r>
    </w:p>
    <w:p w14:paraId="1556A8CE">
      <w:pPr>
        <w:spacing w:line="360" w:lineRule="auto"/>
        <w:ind w:left="-17" w:leftChars="-8" w:firstLine="489" w:firstLineChars="204"/>
        <w:rPr>
          <w:rFonts w:hint="eastAsia"/>
          <w:sz w:val="24"/>
          <w:highlight w:val="none"/>
          <w:lang w:val="en-US" w:eastAsia="zh-CN"/>
        </w:rPr>
      </w:pPr>
      <w:r>
        <w:rPr>
          <w:rFonts w:hint="eastAsia"/>
          <w:sz w:val="24"/>
          <w:highlight w:val="none"/>
          <w:lang w:val="en-US" w:eastAsia="zh-CN"/>
        </w:rPr>
        <w:t>本次采购的供货范围如下：</w:t>
      </w:r>
    </w:p>
    <w:tbl>
      <w:tblPr>
        <w:tblStyle w:val="9"/>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6"/>
        <w:gridCol w:w="3319"/>
        <w:gridCol w:w="3321"/>
      </w:tblGrid>
      <w:tr w14:paraId="31A5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5C4B70B3">
            <w:pPr>
              <w:spacing w:line="360" w:lineRule="auto"/>
              <w:jc w:val="center"/>
              <w:rPr>
                <w:rFonts w:hint="default"/>
                <w:b/>
                <w:bCs/>
                <w:sz w:val="24"/>
                <w:highlight w:val="none"/>
                <w:vertAlign w:val="baseline"/>
                <w:lang w:val="en-US" w:eastAsia="zh-CN"/>
              </w:rPr>
            </w:pPr>
            <w:r>
              <w:rPr>
                <w:rFonts w:hint="eastAsia"/>
                <w:b/>
                <w:bCs/>
                <w:sz w:val="24"/>
                <w:highlight w:val="none"/>
                <w:vertAlign w:val="baseline"/>
                <w:lang w:val="en-US" w:eastAsia="zh-CN"/>
              </w:rPr>
              <w:t>名称</w:t>
            </w:r>
          </w:p>
        </w:tc>
        <w:tc>
          <w:tcPr>
            <w:tcW w:w="1666" w:type="pct"/>
          </w:tcPr>
          <w:p w14:paraId="69A7F16C">
            <w:pPr>
              <w:spacing w:line="360" w:lineRule="auto"/>
              <w:jc w:val="center"/>
              <w:rPr>
                <w:rFonts w:hint="default"/>
                <w:b/>
                <w:bCs/>
                <w:sz w:val="24"/>
                <w:highlight w:val="none"/>
                <w:vertAlign w:val="baseline"/>
                <w:lang w:val="en-US" w:eastAsia="zh-CN"/>
              </w:rPr>
            </w:pPr>
            <w:r>
              <w:rPr>
                <w:rFonts w:hint="eastAsia"/>
                <w:b/>
                <w:bCs/>
                <w:sz w:val="24"/>
                <w:highlight w:val="none"/>
                <w:vertAlign w:val="baseline"/>
                <w:lang w:val="en-US" w:eastAsia="zh-CN"/>
              </w:rPr>
              <w:t>细项</w:t>
            </w:r>
          </w:p>
        </w:tc>
        <w:tc>
          <w:tcPr>
            <w:tcW w:w="1667" w:type="pct"/>
          </w:tcPr>
          <w:p w14:paraId="25166C70">
            <w:pPr>
              <w:spacing w:line="360" w:lineRule="auto"/>
              <w:jc w:val="center"/>
              <w:rPr>
                <w:rFonts w:hint="default"/>
                <w:b/>
                <w:bCs/>
                <w:sz w:val="24"/>
                <w:highlight w:val="none"/>
                <w:vertAlign w:val="baseline"/>
                <w:lang w:val="en-US" w:eastAsia="zh-CN"/>
              </w:rPr>
            </w:pPr>
            <w:r>
              <w:rPr>
                <w:rFonts w:hint="eastAsia"/>
                <w:b/>
                <w:bCs/>
                <w:sz w:val="24"/>
                <w:highlight w:val="none"/>
                <w:vertAlign w:val="baseline"/>
                <w:lang w:val="en-US" w:eastAsia="zh-CN"/>
              </w:rPr>
              <w:t>数量</w:t>
            </w:r>
          </w:p>
        </w:tc>
      </w:tr>
      <w:tr w14:paraId="0106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37FC4589">
            <w:pPr>
              <w:spacing w:line="360" w:lineRule="auto"/>
              <w:jc w:val="center"/>
              <w:rPr>
                <w:rFonts w:hint="default"/>
                <w:b/>
                <w:bCs/>
                <w:sz w:val="24"/>
                <w:highlight w:val="none"/>
                <w:vertAlign w:val="baseline"/>
                <w:lang w:val="en-US" w:eastAsia="zh-CN"/>
              </w:rPr>
            </w:pPr>
            <w:r>
              <w:rPr>
                <w:rFonts w:hint="eastAsia"/>
                <w:b w:val="0"/>
                <w:bCs w:val="0"/>
                <w:sz w:val="24"/>
                <w:highlight w:val="none"/>
                <w:vertAlign w:val="baseline"/>
                <w:lang w:val="en-US" w:eastAsia="zh-CN"/>
              </w:rPr>
              <w:t>质量流量计</w:t>
            </w:r>
          </w:p>
        </w:tc>
        <w:tc>
          <w:tcPr>
            <w:tcW w:w="1666" w:type="pct"/>
          </w:tcPr>
          <w:p w14:paraId="12BB2A41">
            <w:pPr>
              <w:spacing w:line="360" w:lineRule="auto"/>
              <w:jc w:val="center"/>
              <w:rPr>
                <w:rFonts w:hint="default"/>
                <w:b w:val="0"/>
                <w:bCs w:val="0"/>
                <w:sz w:val="24"/>
                <w:highlight w:val="none"/>
                <w:vertAlign w:val="baseline"/>
                <w:lang w:val="en-US" w:eastAsia="zh-CN"/>
              </w:rPr>
            </w:pPr>
            <w:r>
              <w:rPr>
                <w:rFonts w:hint="eastAsia"/>
                <w:b w:val="0"/>
                <w:bCs w:val="0"/>
                <w:sz w:val="24"/>
                <w:highlight w:val="none"/>
                <w:vertAlign w:val="baseline"/>
                <w:lang w:val="en-US" w:eastAsia="zh-CN"/>
              </w:rPr>
              <w:t>整机</w:t>
            </w:r>
          </w:p>
        </w:tc>
        <w:tc>
          <w:tcPr>
            <w:tcW w:w="1667" w:type="pct"/>
          </w:tcPr>
          <w:p w14:paraId="13FAFD74">
            <w:pPr>
              <w:spacing w:line="360" w:lineRule="auto"/>
              <w:jc w:val="center"/>
              <w:rPr>
                <w:rFonts w:hint="default"/>
                <w:b w:val="0"/>
                <w:bCs w:val="0"/>
                <w:sz w:val="24"/>
                <w:highlight w:val="none"/>
                <w:vertAlign w:val="baseline"/>
                <w:lang w:val="en-US" w:eastAsia="zh-CN"/>
              </w:rPr>
            </w:pPr>
            <w:r>
              <w:rPr>
                <w:rFonts w:hint="eastAsia"/>
                <w:b w:val="0"/>
                <w:bCs w:val="0"/>
                <w:sz w:val="24"/>
                <w:highlight w:val="none"/>
                <w:vertAlign w:val="baseline"/>
                <w:lang w:val="en-US" w:eastAsia="zh-CN"/>
              </w:rPr>
              <w:t>1台</w:t>
            </w:r>
          </w:p>
        </w:tc>
      </w:tr>
    </w:tbl>
    <w:p w14:paraId="50312411">
      <w:pPr>
        <w:rPr>
          <w:rFonts w:hint="eastAsia" w:ascii="宋体" w:hAnsi="宋体" w:cs="宋体"/>
          <w:b/>
          <w:bCs/>
          <w:sz w:val="28"/>
          <w:szCs w:val="28"/>
        </w:rPr>
      </w:pPr>
    </w:p>
    <w:p w14:paraId="2DD8BECF">
      <w:pPr>
        <w:spacing w:line="360" w:lineRule="auto"/>
        <w:rPr>
          <w:rFonts w:ascii="宋体" w:hAnsi="宋体" w:cs="宋体"/>
          <w:b/>
          <w:color w:val="FF0000"/>
          <w:sz w:val="28"/>
          <w:szCs w:val="28"/>
          <w:highlight w:val="none"/>
        </w:rPr>
      </w:pPr>
      <w:r>
        <w:rPr>
          <w:rFonts w:hint="eastAsia" w:ascii="宋体" w:hAnsi="宋体" w:cs="宋体"/>
          <w:b/>
          <w:sz w:val="28"/>
          <w:szCs w:val="28"/>
          <w:highlight w:val="none"/>
          <w:lang w:val="en-US" w:eastAsia="zh-CN"/>
        </w:rPr>
        <w:t>五</w:t>
      </w:r>
      <w:r>
        <w:rPr>
          <w:rFonts w:hint="eastAsia" w:ascii="宋体" w:hAnsi="宋体" w:cs="宋体"/>
          <w:b/>
          <w:sz w:val="28"/>
          <w:szCs w:val="28"/>
          <w:highlight w:val="none"/>
        </w:rPr>
        <w:t>、交货期</w:t>
      </w:r>
    </w:p>
    <w:p w14:paraId="1168C854">
      <w:pPr>
        <w:spacing w:line="360" w:lineRule="auto"/>
        <w:ind w:left="-17" w:leftChars="-8" w:firstLine="14" w:firstLineChars="6"/>
        <w:rPr>
          <w:sz w:val="24"/>
          <w:highlight w:val="none"/>
        </w:rPr>
      </w:pPr>
      <w:r>
        <w:rPr>
          <w:rFonts w:hint="eastAsia"/>
          <w:sz w:val="24"/>
          <w:highlight w:val="none"/>
          <w:lang w:val="en-US" w:eastAsia="zh-CN"/>
        </w:rPr>
        <w:t xml:space="preserve">5.1 </w:t>
      </w:r>
      <w:r>
        <w:rPr>
          <w:sz w:val="24"/>
          <w:highlight w:val="none"/>
        </w:rPr>
        <w:t>设备的交货</w:t>
      </w:r>
      <w:r>
        <w:rPr>
          <w:rFonts w:hint="eastAsia"/>
          <w:sz w:val="24"/>
          <w:highlight w:val="none"/>
        </w:rPr>
        <w:t>进度</w:t>
      </w:r>
      <w:r>
        <w:rPr>
          <w:sz w:val="24"/>
          <w:highlight w:val="none"/>
        </w:rPr>
        <w:t>要满足工程安装进度的要求。</w:t>
      </w:r>
    </w:p>
    <w:p w14:paraId="45B3EEE7">
      <w:pPr>
        <w:spacing w:line="360" w:lineRule="auto"/>
        <w:ind w:left="-17" w:leftChars="-8" w:firstLine="14" w:firstLineChars="6"/>
        <w:rPr>
          <w:sz w:val="24"/>
          <w:highlight w:val="none"/>
        </w:rPr>
      </w:pPr>
      <w:r>
        <w:rPr>
          <w:rFonts w:hint="eastAsia"/>
          <w:sz w:val="24"/>
          <w:highlight w:val="none"/>
          <w:lang w:val="en-US" w:eastAsia="zh-CN"/>
        </w:rPr>
        <w:t xml:space="preserve">5.2 </w:t>
      </w:r>
      <w:r>
        <w:rPr>
          <w:sz w:val="24"/>
          <w:highlight w:val="none"/>
        </w:rPr>
        <w:t>备品备件</w:t>
      </w:r>
      <w:r>
        <w:rPr>
          <w:rFonts w:hint="eastAsia"/>
          <w:sz w:val="24"/>
          <w:highlight w:val="none"/>
        </w:rPr>
        <w:t>、随机资料、</w:t>
      </w:r>
      <w:r>
        <w:rPr>
          <w:sz w:val="24"/>
          <w:highlight w:val="none"/>
        </w:rPr>
        <w:t>专用工具随</w:t>
      </w:r>
      <w:r>
        <w:rPr>
          <w:rFonts w:hint="eastAsia"/>
          <w:sz w:val="24"/>
          <w:highlight w:val="none"/>
        </w:rPr>
        <w:t>在线分析</w:t>
      </w:r>
      <w:r>
        <w:rPr>
          <w:rFonts w:hint="eastAsia"/>
          <w:sz w:val="24"/>
          <w:highlight w:val="none"/>
          <w:lang w:val="en-US" w:eastAsia="zh-CN"/>
        </w:rPr>
        <w:t>仪表</w:t>
      </w:r>
      <w:r>
        <w:rPr>
          <w:sz w:val="24"/>
          <w:highlight w:val="none"/>
        </w:rPr>
        <w:t>一起供货。</w:t>
      </w:r>
    </w:p>
    <w:p w14:paraId="5ADA2545">
      <w:pPr>
        <w:spacing w:line="360" w:lineRule="auto"/>
        <w:ind w:left="-17" w:leftChars="-8" w:firstLine="14" w:firstLineChars="6"/>
        <w:rPr>
          <w:sz w:val="24"/>
          <w:highlight w:val="none"/>
        </w:rPr>
      </w:pPr>
      <w:r>
        <w:rPr>
          <w:rFonts w:hint="eastAsia"/>
          <w:sz w:val="24"/>
          <w:highlight w:val="none"/>
          <w:lang w:val="en-US" w:eastAsia="zh-CN"/>
        </w:rPr>
        <w:t xml:space="preserve">5.3 </w:t>
      </w:r>
      <w:r>
        <w:rPr>
          <w:sz w:val="24"/>
          <w:highlight w:val="none"/>
        </w:rPr>
        <w:t>交货</w:t>
      </w:r>
      <w:r>
        <w:rPr>
          <w:rFonts w:hint="eastAsia"/>
          <w:sz w:val="24"/>
          <w:highlight w:val="none"/>
        </w:rPr>
        <w:t>时间：</w:t>
      </w:r>
      <w:r>
        <w:rPr>
          <w:rFonts w:hint="eastAsia"/>
          <w:color w:val="000000"/>
          <w:sz w:val="24"/>
          <w:highlight w:val="none"/>
        </w:rPr>
        <w:t>合同签订后2</w:t>
      </w:r>
      <w:r>
        <w:rPr>
          <w:rFonts w:hint="eastAsia"/>
          <w:color w:val="000000"/>
          <w:sz w:val="24"/>
          <w:highlight w:val="none"/>
          <w:lang w:val="en-US" w:eastAsia="zh-CN"/>
        </w:rPr>
        <w:t>个</w:t>
      </w:r>
      <w:r>
        <w:rPr>
          <w:rFonts w:hint="eastAsia"/>
          <w:color w:val="000000"/>
          <w:sz w:val="24"/>
          <w:highlight w:val="none"/>
        </w:rPr>
        <w:t>月内交货</w:t>
      </w:r>
      <w:r>
        <w:rPr>
          <w:rFonts w:hint="eastAsia"/>
          <w:sz w:val="24"/>
          <w:highlight w:val="none"/>
        </w:rPr>
        <w:t>。</w:t>
      </w:r>
    </w:p>
    <w:p w14:paraId="732ECC46">
      <w:pPr>
        <w:spacing w:line="360" w:lineRule="auto"/>
        <w:ind w:left="-17" w:leftChars="-8" w:firstLine="14" w:firstLineChars="6"/>
        <w:rPr>
          <w:sz w:val="24"/>
          <w:highlight w:val="none"/>
        </w:rPr>
      </w:pPr>
      <w:r>
        <w:rPr>
          <w:rFonts w:hint="eastAsia"/>
          <w:sz w:val="24"/>
          <w:highlight w:val="none"/>
          <w:lang w:val="en-US" w:eastAsia="zh-CN"/>
        </w:rPr>
        <w:t xml:space="preserve">5.4 </w:t>
      </w:r>
      <w:r>
        <w:rPr>
          <w:rFonts w:hint="eastAsia"/>
          <w:sz w:val="24"/>
          <w:highlight w:val="none"/>
        </w:rPr>
        <w:t>交货地点：</w:t>
      </w:r>
      <w:r>
        <w:rPr>
          <w:rFonts w:hint="eastAsia" w:ascii="宋体" w:hAnsi="宋体" w:cs="宋体"/>
          <w:color w:val="000000"/>
          <w:sz w:val="24"/>
          <w:highlight w:val="none"/>
        </w:rPr>
        <w:t>福建省福州市</w:t>
      </w:r>
      <w:r>
        <w:rPr>
          <w:rFonts w:ascii="宋体" w:hAnsi="宋体" w:cs="宋体"/>
          <w:color w:val="000000"/>
          <w:sz w:val="24"/>
          <w:highlight w:val="none"/>
        </w:rPr>
        <w:t>福清</w:t>
      </w:r>
      <w:r>
        <w:rPr>
          <w:rFonts w:hint="eastAsia" w:ascii="宋体" w:hAnsi="宋体" w:cs="宋体"/>
          <w:color w:val="000000"/>
          <w:sz w:val="24"/>
          <w:highlight w:val="none"/>
        </w:rPr>
        <w:t>市</w:t>
      </w:r>
      <w:r>
        <w:rPr>
          <w:rFonts w:ascii="宋体" w:hAnsi="宋体" w:cs="宋体"/>
          <w:color w:val="000000"/>
          <w:sz w:val="24"/>
          <w:highlight w:val="none"/>
        </w:rPr>
        <w:t>江阴工业集中区</w:t>
      </w:r>
      <w:r>
        <w:rPr>
          <w:rFonts w:hint="eastAsia" w:ascii="宋体" w:hAnsi="宋体" w:cs="宋体"/>
          <w:color w:val="000000"/>
          <w:sz w:val="24"/>
          <w:highlight w:val="none"/>
        </w:rPr>
        <w:t>国盛大道3号，</w:t>
      </w:r>
      <w:r>
        <w:rPr>
          <w:rFonts w:ascii="宋体" w:hAnsi="宋体" w:cs="宋体"/>
          <w:color w:val="000000"/>
          <w:sz w:val="24"/>
          <w:highlight w:val="none"/>
        </w:rPr>
        <w:t>福建</w:t>
      </w:r>
      <w:r>
        <w:rPr>
          <w:rFonts w:hint="eastAsia" w:ascii="宋体" w:hAnsi="宋体" w:cs="宋体"/>
          <w:color w:val="000000"/>
          <w:sz w:val="24"/>
          <w:highlight w:val="none"/>
        </w:rPr>
        <w:t>省</w:t>
      </w:r>
      <w:r>
        <w:rPr>
          <w:rFonts w:ascii="宋体" w:hAnsi="宋体" w:cs="宋体"/>
          <w:color w:val="000000"/>
          <w:sz w:val="24"/>
          <w:highlight w:val="none"/>
        </w:rPr>
        <w:t>东南电化</w:t>
      </w:r>
      <w:r>
        <w:rPr>
          <w:rFonts w:hint="eastAsia" w:ascii="宋体" w:hAnsi="宋体" w:cs="宋体"/>
          <w:color w:val="000000"/>
          <w:sz w:val="24"/>
          <w:highlight w:val="none"/>
        </w:rPr>
        <w:t>股份有限公司</w:t>
      </w:r>
      <w:r>
        <w:rPr>
          <w:rFonts w:ascii="宋体" w:hAnsi="宋体" w:cs="宋体"/>
          <w:color w:val="000000"/>
          <w:sz w:val="24"/>
          <w:highlight w:val="none"/>
        </w:rPr>
        <w:t>厂区装置现场。</w:t>
      </w:r>
    </w:p>
    <w:p w14:paraId="48A6639F">
      <w:pPr>
        <w:autoSpaceDE w:val="0"/>
        <w:autoSpaceDN w:val="0"/>
        <w:adjustRightInd w:val="0"/>
        <w:spacing w:line="360" w:lineRule="auto"/>
        <w:ind w:left="-17" w:leftChars="-8" w:firstLine="14" w:firstLineChars="6"/>
        <w:jc w:val="left"/>
        <w:rPr>
          <w:rFonts w:ascii="宋体" w:hAnsi="宋体" w:cs="宋体"/>
          <w:kern w:val="0"/>
          <w:sz w:val="24"/>
          <w:highlight w:val="none"/>
        </w:rPr>
      </w:pPr>
      <w:r>
        <w:rPr>
          <w:rFonts w:hint="eastAsia"/>
          <w:sz w:val="24"/>
          <w:highlight w:val="none"/>
          <w:lang w:val="en-US" w:eastAsia="zh-CN"/>
        </w:rPr>
        <w:t xml:space="preserve">5.5 </w:t>
      </w:r>
      <w:r>
        <w:rPr>
          <w:rFonts w:hint="eastAsia"/>
          <w:sz w:val="24"/>
          <w:highlight w:val="none"/>
        </w:rPr>
        <w:t>包装运输：</w:t>
      </w:r>
      <w:r>
        <w:rPr>
          <w:rFonts w:hint="eastAsia" w:ascii="宋体" w:hAnsi="宋体" w:cs="宋体"/>
          <w:kern w:val="0"/>
          <w:sz w:val="24"/>
          <w:highlight w:val="none"/>
        </w:rPr>
        <w:t>投标</w:t>
      </w:r>
      <w:r>
        <w:rPr>
          <w:rFonts w:ascii="宋体" w:hAnsi="宋体" w:cs="宋体"/>
          <w:kern w:val="0"/>
          <w:sz w:val="24"/>
          <w:highlight w:val="none"/>
        </w:rPr>
        <w:t>方应严格按货物的国家相关标准的“包装、标记、运输及票据须知”的要求对货物进行包装和标识</w:t>
      </w:r>
      <w:r>
        <w:rPr>
          <w:rFonts w:ascii="宋体" w:hAnsi="宋体"/>
          <w:kern w:val="0"/>
          <w:sz w:val="24"/>
          <w:highlight w:val="none"/>
        </w:rPr>
        <w:t>(</w:t>
      </w:r>
      <w:r>
        <w:rPr>
          <w:rFonts w:ascii="宋体" w:hAnsi="宋体" w:cs="宋体"/>
          <w:kern w:val="0"/>
          <w:sz w:val="24"/>
          <w:highlight w:val="none"/>
        </w:rPr>
        <w:t>备品备件应与设备分别包装</w:t>
      </w:r>
      <w:r>
        <w:rPr>
          <w:rFonts w:ascii="宋体" w:hAnsi="宋体"/>
          <w:kern w:val="0"/>
          <w:sz w:val="24"/>
          <w:highlight w:val="none"/>
        </w:rPr>
        <w:t>)</w:t>
      </w:r>
      <w:r>
        <w:rPr>
          <w:rFonts w:ascii="宋体" w:hAnsi="宋体" w:cs="宋体"/>
          <w:kern w:val="0"/>
          <w:sz w:val="24"/>
          <w:highlight w:val="none"/>
        </w:rPr>
        <w:t>，保证设备完好无损地运输至</w:t>
      </w:r>
      <w:r>
        <w:rPr>
          <w:rFonts w:hint="eastAsia" w:ascii="宋体" w:hAnsi="宋体" w:cs="宋体"/>
          <w:kern w:val="0"/>
          <w:sz w:val="24"/>
          <w:highlight w:val="none"/>
        </w:rPr>
        <w:t>招标</w:t>
      </w:r>
      <w:r>
        <w:rPr>
          <w:rFonts w:ascii="宋体" w:hAnsi="宋体" w:cs="宋体"/>
          <w:kern w:val="0"/>
          <w:sz w:val="24"/>
          <w:highlight w:val="none"/>
        </w:rPr>
        <w:t>方的使用现场。随机备件单独包装后放入</w:t>
      </w:r>
      <w:r>
        <w:rPr>
          <w:rFonts w:hint="eastAsia" w:ascii="宋体" w:hAnsi="宋体" w:cs="宋体"/>
          <w:kern w:val="0"/>
          <w:sz w:val="24"/>
          <w:highlight w:val="none"/>
        </w:rPr>
        <w:t>在线分析仪</w:t>
      </w:r>
      <w:r>
        <w:rPr>
          <w:rFonts w:ascii="宋体" w:hAnsi="宋体" w:cs="宋体"/>
          <w:kern w:val="0"/>
          <w:sz w:val="24"/>
          <w:highlight w:val="none"/>
        </w:rPr>
        <w:t>包装箱内，防止丢失或损坏。</w:t>
      </w:r>
    </w:p>
    <w:p w14:paraId="666C1A5E">
      <w:pPr>
        <w:spacing w:line="360" w:lineRule="auto"/>
        <w:ind w:left="-17" w:leftChars="-8" w:firstLine="17" w:firstLineChars="6"/>
        <w:rPr>
          <w:rFonts w:hint="eastAsia" w:ascii="宋体" w:hAnsi="宋体" w:cs="宋体"/>
          <w:b/>
          <w:sz w:val="28"/>
          <w:szCs w:val="28"/>
          <w:lang w:val="en-US" w:eastAsia="zh-CN"/>
        </w:rPr>
      </w:pPr>
      <w:r>
        <w:rPr>
          <w:rFonts w:hint="eastAsia" w:ascii="宋体" w:hAnsi="宋体" w:cs="宋体"/>
          <w:b/>
          <w:sz w:val="28"/>
          <w:szCs w:val="28"/>
          <w:lang w:val="en-US" w:eastAsia="zh-CN"/>
        </w:rPr>
        <w:t>6</w:t>
      </w:r>
      <w:r>
        <w:rPr>
          <w:rFonts w:hint="eastAsia" w:ascii="宋体" w:hAnsi="宋体" w:cs="宋体"/>
          <w:b/>
          <w:sz w:val="28"/>
          <w:szCs w:val="28"/>
        </w:rPr>
        <w:t>、</w:t>
      </w:r>
      <w:r>
        <w:rPr>
          <w:rFonts w:hint="eastAsia" w:ascii="宋体" w:hAnsi="宋体" w:cs="宋体"/>
          <w:b/>
          <w:sz w:val="28"/>
          <w:szCs w:val="28"/>
          <w:lang w:val="en-US" w:eastAsia="zh-CN"/>
        </w:rPr>
        <w:t>验收标准</w:t>
      </w:r>
    </w:p>
    <w:p w14:paraId="25AF1CAF">
      <w:pPr>
        <w:autoSpaceDE w:val="0"/>
        <w:autoSpaceDN w:val="0"/>
        <w:adjustRightInd w:val="0"/>
        <w:spacing w:line="360" w:lineRule="auto"/>
        <w:jc w:val="left"/>
        <w:rPr>
          <w:rFonts w:hint="eastAsia" w:ascii="宋体" w:hAnsi="宋体" w:cs="Times New Roman"/>
          <w:sz w:val="24"/>
          <w:highlight w:val="none"/>
          <w:lang w:val="en-US" w:eastAsia="zh-CN"/>
        </w:rPr>
      </w:pPr>
    </w:p>
    <w:p w14:paraId="206F0D52">
      <w:pPr>
        <w:autoSpaceDE w:val="0"/>
        <w:autoSpaceDN w:val="0"/>
        <w:adjustRightInd w:val="0"/>
        <w:spacing w:line="360" w:lineRule="auto"/>
        <w:ind w:left="-17" w:leftChars="-8" w:firstLine="14" w:firstLineChars="6"/>
        <w:jc w:val="left"/>
        <w:rPr>
          <w:rFonts w:hint="eastAsia"/>
          <w:sz w:val="24"/>
          <w:highlight w:val="yellow"/>
          <w:lang w:val="en-US" w:eastAsia="zh-CN"/>
        </w:rPr>
      </w:pPr>
      <w:r>
        <w:rPr>
          <w:rFonts w:hint="eastAsia"/>
          <w:sz w:val="24"/>
          <w:highlight w:val="yellow"/>
          <w:lang w:val="en-US" w:eastAsia="zh-CN"/>
        </w:rPr>
        <w:t>6.1 浓度验收指标：仪表在线浓度测量值与甲方实验室手工滴定结果比对，绝对误差控制在 ±0.1% 以内，滴定数据作为判定基准。</w:t>
      </w:r>
    </w:p>
    <w:p w14:paraId="313DA249">
      <w:pPr>
        <w:autoSpaceDE w:val="0"/>
        <w:autoSpaceDN w:val="0"/>
        <w:adjustRightInd w:val="0"/>
        <w:spacing w:line="360" w:lineRule="auto"/>
        <w:ind w:left="-17" w:leftChars="-8" w:firstLine="14" w:firstLineChars="6"/>
        <w:jc w:val="left"/>
        <w:rPr>
          <w:rFonts w:hint="eastAsia"/>
          <w:sz w:val="24"/>
          <w:highlight w:val="yellow"/>
          <w:lang w:val="en-US" w:eastAsia="zh-CN"/>
        </w:rPr>
      </w:pPr>
      <w:r>
        <w:rPr>
          <w:rFonts w:hint="eastAsia"/>
          <w:sz w:val="24"/>
          <w:highlight w:val="yellow"/>
          <w:lang w:val="en-US" w:eastAsia="zh-CN"/>
        </w:rPr>
        <w:t>6.2 浓度测量能力要求：甲方不提供浓度补偿、校准等数据表，供方所供质量流量计需自带成熟、可靠的浓度测量算法，无需甲方补充参数即可精准测量 50% 液碱浓度，无法达到该功能要求视为设备不合格。</w:t>
      </w:r>
    </w:p>
    <w:p w14:paraId="101EA53F">
      <w:pPr>
        <w:autoSpaceDE w:val="0"/>
        <w:autoSpaceDN w:val="0"/>
        <w:adjustRightInd w:val="0"/>
        <w:spacing w:line="360" w:lineRule="auto"/>
        <w:ind w:left="-17" w:leftChars="-8" w:firstLine="14" w:firstLineChars="6"/>
        <w:jc w:val="left"/>
        <w:rPr>
          <w:rFonts w:hint="eastAsia"/>
          <w:sz w:val="24"/>
          <w:highlight w:val="yellow"/>
          <w:lang w:val="en-US" w:eastAsia="zh-CN"/>
        </w:rPr>
      </w:pPr>
      <w:r>
        <w:rPr>
          <w:rFonts w:hint="eastAsia"/>
          <w:sz w:val="24"/>
          <w:highlight w:val="yellow"/>
          <w:lang w:val="en-US" w:eastAsia="zh-CN"/>
        </w:rPr>
        <w:t>6.3 设备责任条款：本仪表接入生产关键联锁自控回路，若因仪表自身性能、本体故障、设计缺陷引发产品质量不合格、装置非计划停车、安全环保事故等情况，甲方有权全额退货，供方承担由此产生的一切经济损失。</w:t>
      </w:r>
    </w:p>
    <w:p w14:paraId="565C61E6">
      <w:pPr>
        <w:autoSpaceDE w:val="0"/>
        <w:autoSpaceDN w:val="0"/>
        <w:adjustRightInd w:val="0"/>
        <w:spacing w:line="360" w:lineRule="auto"/>
        <w:ind w:left="-17" w:leftChars="-8" w:firstLine="14" w:firstLineChars="6"/>
        <w:jc w:val="left"/>
        <w:rPr>
          <w:rFonts w:hint="eastAsia"/>
          <w:sz w:val="24"/>
          <w:highlight w:val="yellow"/>
          <w:lang w:val="en-US" w:eastAsia="zh-CN"/>
        </w:rPr>
      </w:pPr>
      <w:r>
        <w:rPr>
          <w:rFonts w:hint="eastAsia"/>
          <w:sz w:val="24"/>
          <w:highlight w:val="yellow"/>
          <w:lang w:val="en-US" w:eastAsia="zh-CN"/>
        </w:rPr>
        <w:t>6.4 附加要求：仪表同时具备质量流量精准测量功能，流量、浓度信号稳定输出，适配 50% 液碱腐蚀工况，满足长期连续自控联锁运行需求。</w:t>
      </w:r>
    </w:p>
    <w:p w14:paraId="4F3FD04D">
      <w:pPr>
        <w:autoSpaceDE w:val="0"/>
        <w:autoSpaceDN w:val="0"/>
        <w:adjustRightInd w:val="0"/>
        <w:spacing w:line="360" w:lineRule="auto"/>
        <w:ind w:left="-17" w:leftChars="-8" w:firstLine="14" w:firstLineChars="6"/>
        <w:jc w:val="left"/>
        <w:rPr>
          <w:rFonts w:hint="eastAsia" w:ascii="宋体" w:hAnsi="宋体" w:cs="Times New Roman"/>
          <w:sz w:val="24"/>
          <w:highlight w:val="none"/>
          <w:lang w:val="en-US" w:eastAsia="zh-CN"/>
        </w:rPr>
        <w:sectPr>
          <w:pgSz w:w="11906" w:h="16838"/>
          <w:pgMar w:top="1440" w:right="1077" w:bottom="714" w:left="1077" w:header="284" w:footer="680" w:gutter="0"/>
          <w:cols w:space="720" w:num="1"/>
          <w:docGrid w:linePitch="312" w:charSpace="0"/>
        </w:sectPr>
      </w:pPr>
    </w:p>
    <w:p w14:paraId="3E8449CB">
      <w:pPr>
        <w:rPr>
          <w:rFonts w:hint="eastAsia" w:ascii="宋体" w:hAnsi="宋体" w:cs="宋体"/>
          <w:b/>
          <w:bCs/>
          <w:sz w:val="28"/>
          <w:szCs w:val="28"/>
        </w:rPr>
      </w:pPr>
    </w:p>
    <w:sectPr>
      <w:pgSz w:w="11906" w:h="16838"/>
      <w:pgMar w:top="1440" w:right="1077" w:bottom="714" w:left="1077" w:header="284" w:footer="68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F1C5A0"/>
    <w:multiLevelType w:val="singleLevel"/>
    <w:tmpl w:val="FCF1C5A0"/>
    <w:lvl w:ilvl="0" w:tentative="0">
      <w:start w:val="2"/>
      <w:numFmt w:val="decimal"/>
      <w:suff w:val="nothing"/>
      <w:lvlText w:val="%1、"/>
      <w:lvlJc w:val="left"/>
    </w:lvl>
  </w:abstractNum>
  <w:abstractNum w:abstractNumId="1">
    <w:nsid w:val="26251168"/>
    <w:multiLevelType w:val="multilevel"/>
    <w:tmpl w:val="26251168"/>
    <w:lvl w:ilvl="0" w:tentative="0">
      <w:start w:val="1"/>
      <w:numFmt w:val="decimal"/>
      <w:pStyle w:val="2"/>
      <w:lvlText w:val="%1."/>
      <w:lvlJc w:val="left"/>
      <w:pPr>
        <w:ind w:left="425" w:hanging="425"/>
      </w:pPr>
      <w:rPr>
        <w:rFonts w:hint="eastAsia"/>
      </w:rPr>
    </w:lvl>
    <w:lvl w:ilvl="1" w:tentative="0">
      <w:start w:val="1"/>
      <w:numFmt w:val="decimal"/>
      <w:lvlText w:val="%1.%2."/>
      <w:lvlJc w:val="left"/>
      <w:pPr>
        <w:ind w:left="567" w:hanging="567"/>
      </w:p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4YzgyY2I0NjgwNWYyMmE2ZjhjOTNmMGVmYjA5NGUifQ=="/>
  </w:docVars>
  <w:rsids>
    <w:rsidRoot w:val="00172A27"/>
    <w:rsid w:val="000114B0"/>
    <w:rsid w:val="000170E9"/>
    <w:rsid w:val="00061A06"/>
    <w:rsid w:val="0007533E"/>
    <w:rsid w:val="00082203"/>
    <w:rsid w:val="000909F7"/>
    <w:rsid w:val="000C4C39"/>
    <w:rsid w:val="000C4C5E"/>
    <w:rsid w:val="000C6899"/>
    <w:rsid w:val="00111928"/>
    <w:rsid w:val="0011506F"/>
    <w:rsid w:val="00127D16"/>
    <w:rsid w:val="00172A27"/>
    <w:rsid w:val="001807D5"/>
    <w:rsid w:val="00186402"/>
    <w:rsid w:val="00186427"/>
    <w:rsid w:val="001B113D"/>
    <w:rsid w:val="001B1A77"/>
    <w:rsid w:val="001E409C"/>
    <w:rsid w:val="001E5D5A"/>
    <w:rsid w:val="001F13BA"/>
    <w:rsid w:val="001F66F4"/>
    <w:rsid w:val="00213F03"/>
    <w:rsid w:val="00260615"/>
    <w:rsid w:val="00275B1B"/>
    <w:rsid w:val="002B15BB"/>
    <w:rsid w:val="002B2710"/>
    <w:rsid w:val="002E1FFC"/>
    <w:rsid w:val="002F1505"/>
    <w:rsid w:val="00307901"/>
    <w:rsid w:val="0033362D"/>
    <w:rsid w:val="00346198"/>
    <w:rsid w:val="00391068"/>
    <w:rsid w:val="003C281E"/>
    <w:rsid w:val="003C753D"/>
    <w:rsid w:val="003D6A0B"/>
    <w:rsid w:val="003E22DF"/>
    <w:rsid w:val="00415A8D"/>
    <w:rsid w:val="004346C4"/>
    <w:rsid w:val="00435DC5"/>
    <w:rsid w:val="00447EC8"/>
    <w:rsid w:val="0045028B"/>
    <w:rsid w:val="00456BA7"/>
    <w:rsid w:val="004A1257"/>
    <w:rsid w:val="004B7310"/>
    <w:rsid w:val="004C3393"/>
    <w:rsid w:val="004C62B7"/>
    <w:rsid w:val="004C7C85"/>
    <w:rsid w:val="004D3F7D"/>
    <w:rsid w:val="004F3CE7"/>
    <w:rsid w:val="0051438A"/>
    <w:rsid w:val="00542CD9"/>
    <w:rsid w:val="00596B20"/>
    <w:rsid w:val="005A5AF8"/>
    <w:rsid w:val="006726E3"/>
    <w:rsid w:val="006E1FFD"/>
    <w:rsid w:val="006F4CD8"/>
    <w:rsid w:val="00711422"/>
    <w:rsid w:val="007303B0"/>
    <w:rsid w:val="007434AC"/>
    <w:rsid w:val="007644FA"/>
    <w:rsid w:val="00771ED0"/>
    <w:rsid w:val="00790089"/>
    <w:rsid w:val="007907E4"/>
    <w:rsid w:val="00791458"/>
    <w:rsid w:val="007B595F"/>
    <w:rsid w:val="007C2285"/>
    <w:rsid w:val="007D66C2"/>
    <w:rsid w:val="008014AA"/>
    <w:rsid w:val="008073CC"/>
    <w:rsid w:val="00831B84"/>
    <w:rsid w:val="00847F12"/>
    <w:rsid w:val="0085240C"/>
    <w:rsid w:val="00897122"/>
    <w:rsid w:val="008A21A4"/>
    <w:rsid w:val="008A3F6C"/>
    <w:rsid w:val="008A57EF"/>
    <w:rsid w:val="008C4067"/>
    <w:rsid w:val="008D42F7"/>
    <w:rsid w:val="008D4F0E"/>
    <w:rsid w:val="008D6CDD"/>
    <w:rsid w:val="008E12CF"/>
    <w:rsid w:val="008E1BDA"/>
    <w:rsid w:val="008F6C4F"/>
    <w:rsid w:val="009020E3"/>
    <w:rsid w:val="00910F8C"/>
    <w:rsid w:val="00913F9C"/>
    <w:rsid w:val="0092532A"/>
    <w:rsid w:val="00936AC6"/>
    <w:rsid w:val="00991789"/>
    <w:rsid w:val="009B018E"/>
    <w:rsid w:val="009C07DC"/>
    <w:rsid w:val="009C32E4"/>
    <w:rsid w:val="009E4C5D"/>
    <w:rsid w:val="00A17B41"/>
    <w:rsid w:val="00A27700"/>
    <w:rsid w:val="00A40C5E"/>
    <w:rsid w:val="00A43318"/>
    <w:rsid w:val="00A5247A"/>
    <w:rsid w:val="00A94817"/>
    <w:rsid w:val="00A95EC5"/>
    <w:rsid w:val="00AB6C63"/>
    <w:rsid w:val="00AE0D3C"/>
    <w:rsid w:val="00AF518E"/>
    <w:rsid w:val="00B16016"/>
    <w:rsid w:val="00B5614B"/>
    <w:rsid w:val="00B63F90"/>
    <w:rsid w:val="00B73BCB"/>
    <w:rsid w:val="00B771DF"/>
    <w:rsid w:val="00BB2B33"/>
    <w:rsid w:val="00C12643"/>
    <w:rsid w:val="00C36B17"/>
    <w:rsid w:val="00C80D1A"/>
    <w:rsid w:val="00CA6263"/>
    <w:rsid w:val="00CB3F4F"/>
    <w:rsid w:val="00CC4B21"/>
    <w:rsid w:val="00D000F1"/>
    <w:rsid w:val="00D017BA"/>
    <w:rsid w:val="00D16239"/>
    <w:rsid w:val="00D72D71"/>
    <w:rsid w:val="00DA3165"/>
    <w:rsid w:val="00DA4918"/>
    <w:rsid w:val="00DA5418"/>
    <w:rsid w:val="00DD6B00"/>
    <w:rsid w:val="00DF63DF"/>
    <w:rsid w:val="00E24AFA"/>
    <w:rsid w:val="00E27E83"/>
    <w:rsid w:val="00E5015D"/>
    <w:rsid w:val="00E56373"/>
    <w:rsid w:val="00E808CA"/>
    <w:rsid w:val="00EA03E1"/>
    <w:rsid w:val="00EA0403"/>
    <w:rsid w:val="00EA3534"/>
    <w:rsid w:val="00F11D1A"/>
    <w:rsid w:val="00F60697"/>
    <w:rsid w:val="00F647AA"/>
    <w:rsid w:val="00F66B37"/>
    <w:rsid w:val="00F8094F"/>
    <w:rsid w:val="00F87B7F"/>
    <w:rsid w:val="00F87D40"/>
    <w:rsid w:val="00F90C78"/>
    <w:rsid w:val="00FA1B28"/>
    <w:rsid w:val="00FE1B0B"/>
    <w:rsid w:val="010D19D8"/>
    <w:rsid w:val="01B12ADD"/>
    <w:rsid w:val="0228719A"/>
    <w:rsid w:val="02E67F37"/>
    <w:rsid w:val="02FE64A3"/>
    <w:rsid w:val="05BB6193"/>
    <w:rsid w:val="063B7DB2"/>
    <w:rsid w:val="06B65B25"/>
    <w:rsid w:val="06B71CB9"/>
    <w:rsid w:val="071D7EE6"/>
    <w:rsid w:val="07527D03"/>
    <w:rsid w:val="08BE73D8"/>
    <w:rsid w:val="0942143F"/>
    <w:rsid w:val="095C6171"/>
    <w:rsid w:val="09B42642"/>
    <w:rsid w:val="09EC1E5F"/>
    <w:rsid w:val="0C0416AD"/>
    <w:rsid w:val="0C0541ED"/>
    <w:rsid w:val="0CD35C08"/>
    <w:rsid w:val="0CD44BA3"/>
    <w:rsid w:val="0E2F75DE"/>
    <w:rsid w:val="0F2A42BF"/>
    <w:rsid w:val="0F7F5E6D"/>
    <w:rsid w:val="0FC444CA"/>
    <w:rsid w:val="1014246B"/>
    <w:rsid w:val="103035F9"/>
    <w:rsid w:val="11556C74"/>
    <w:rsid w:val="11665F82"/>
    <w:rsid w:val="11D3329A"/>
    <w:rsid w:val="13321CA4"/>
    <w:rsid w:val="13D645FD"/>
    <w:rsid w:val="1510723C"/>
    <w:rsid w:val="151E6D2D"/>
    <w:rsid w:val="15576A90"/>
    <w:rsid w:val="15EB4B8B"/>
    <w:rsid w:val="15FB2357"/>
    <w:rsid w:val="16AF0D49"/>
    <w:rsid w:val="170C1DD5"/>
    <w:rsid w:val="178D7751"/>
    <w:rsid w:val="18EB47A6"/>
    <w:rsid w:val="19381092"/>
    <w:rsid w:val="19A31A69"/>
    <w:rsid w:val="1A4F77FF"/>
    <w:rsid w:val="1B9351A2"/>
    <w:rsid w:val="1C5E6EED"/>
    <w:rsid w:val="1C5F19D6"/>
    <w:rsid w:val="1C867A3F"/>
    <w:rsid w:val="1DA5166F"/>
    <w:rsid w:val="1DEF0DDC"/>
    <w:rsid w:val="1EB0774D"/>
    <w:rsid w:val="1EE95854"/>
    <w:rsid w:val="200E6A2D"/>
    <w:rsid w:val="21FC0A6C"/>
    <w:rsid w:val="22506ABF"/>
    <w:rsid w:val="24554DEB"/>
    <w:rsid w:val="24E76411"/>
    <w:rsid w:val="250B7C74"/>
    <w:rsid w:val="252C160A"/>
    <w:rsid w:val="25375AAE"/>
    <w:rsid w:val="25376E7E"/>
    <w:rsid w:val="255C7F84"/>
    <w:rsid w:val="271E5F02"/>
    <w:rsid w:val="282028E2"/>
    <w:rsid w:val="286D3BB5"/>
    <w:rsid w:val="28964DAD"/>
    <w:rsid w:val="2982053A"/>
    <w:rsid w:val="2ADE699B"/>
    <w:rsid w:val="2C091017"/>
    <w:rsid w:val="2C3309BF"/>
    <w:rsid w:val="2C83037C"/>
    <w:rsid w:val="2D3F6977"/>
    <w:rsid w:val="2EA72378"/>
    <w:rsid w:val="2EEF3740"/>
    <w:rsid w:val="2F316D34"/>
    <w:rsid w:val="2F777302"/>
    <w:rsid w:val="302A18C6"/>
    <w:rsid w:val="3146383D"/>
    <w:rsid w:val="31CE058C"/>
    <w:rsid w:val="32435256"/>
    <w:rsid w:val="32492A04"/>
    <w:rsid w:val="324B16BE"/>
    <w:rsid w:val="33793410"/>
    <w:rsid w:val="33A04B7C"/>
    <w:rsid w:val="33DE48E0"/>
    <w:rsid w:val="33F425AD"/>
    <w:rsid w:val="341E030F"/>
    <w:rsid w:val="342C51D9"/>
    <w:rsid w:val="347E05E5"/>
    <w:rsid w:val="34D128EE"/>
    <w:rsid w:val="350B6C92"/>
    <w:rsid w:val="354F0A84"/>
    <w:rsid w:val="35AD34FD"/>
    <w:rsid w:val="35B3031E"/>
    <w:rsid w:val="367F6FEE"/>
    <w:rsid w:val="36D93A5C"/>
    <w:rsid w:val="373445A5"/>
    <w:rsid w:val="382C009E"/>
    <w:rsid w:val="38C94584"/>
    <w:rsid w:val="393034C0"/>
    <w:rsid w:val="394136FC"/>
    <w:rsid w:val="39682D88"/>
    <w:rsid w:val="3A282CF6"/>
    <w:rsid w:val="3A9E03B6"/>
    <w:rsid w:val="3B6A7103"/>
    <w:rsid w:val="3DF633C5"/>
    <w:rsid w:val="3E083493"/>
    <w:rsid w:val="3E6D7E85"/>
    <w:rsid w:val="3F1423D4"/>
    <w:rsid w:val="3F5A0FB6"/>
    <w:rsid w:val="3FC741A5"/>
    <w:rsid w:val="404B10F6"/>
    <w:rsid w:val="40596A0B"/>
    <w:rsid w:val="405D4E5D"/>
    <w:rsid w:val="408924DF"/>
    <w:rsid w:val="40B530C4"/>
    <w:rsid w:val="4136428A"/>
    <w:rsid w:val="41AE78F6"/>
    <w:rsid w:val="423229B2"/>
    <w:rsid w:val="42622FA4"/>
    <w:rsid w:val="42E44FE5"/>
    <w:rsid w:val="446C3E57"/>
    <w:rsid w:val="44A458E2"/>
    <w:rsid w:val="44C04B1B"/>
    <w:rsid w:val="44D01D37"/>
    <w:rsid w:val="4549083B"/>
    <w:rsid w:val="45DF73C6"/>
    <w:rsid w:val="460B4AB3"/>
    <w:rsid w:val="46990F44"/>
    <w:rsid w:val="47637084"/>
    <w:rsid w:val="47BE63DE"/>
    <w:rsid w:val="484664A7"/>
    <w:rsid w:val="48950A07"/>
    <w:rsid w:val="4B6A739B"/>
    <w:rsid w:val="4BC212BD"/>
    <w:rsid w:val="4C0C3351"/>
    <w:rsid w:val="4C2740DF"/>
    <w:rsid w:val="4CE02F22"/>
    <w:rsid w:val="4D5873C7"/>
    <w:rsid w:val="4DCA4E76"/>
    <w:rsid w:val="4E8A797A"/>
    <w:rsid w:val="4EB93A4A"/>
    <w:rsid w:val="4F852406"/>
    <w:rsid w:val="4F9A5B07"/>
    <w:rsid w:val="509664B6"/>
    <w:rsid w:val="511D32BF"/>
    <w:rsid w:val="51675344"/>
    <w:rsid w:val="51677507"/>
    <w:rsid w:val="532A4C44"/>
    <w:rsid w:val="53847FE0"/>
    <w:rsid w:val="540A502D"/>
    <w:rsid w:val="543776D9"/>
    <w:rsid w:val="546A2608"/>
    <w:rsid w:val="56093721"/>
    <w:rsid w:val="567A7CC6"/>
    <w:rsid w:val="56EC2415"/>
    <w:rsid w:val="56F14921"/>
    <w:rsid w:val="570F3D5C"/>
    <w:rsid w:val="571D1826"/>
    <w:rsid w:val="578B60AE"/>
    <w:rsid w:val="58224AF3"/>
    <w:rsid w:val="58966A00"/>
    <w:rsid w:val="59045F8F"/>
    <w:rsid w:val="5975659F"/>
    <w:rsid w:val="5A45526D"/>
    <w:rsid w:val="5B6E4749"/>
    <w:rsid w:val="5BBA744A"/>
    <w:rsid w:val="5C032493"/>
    <w:rsid w:val="5CA77A3D"/>
    <w:rsid w:val="5CB34F3E"/>
    <w:rsid w:val="5D021E96"/>
    <w:rsid w:val="5E0B2B07"/>
    <w:rsid w:val="5E41468F"/>
    <w:rsid w:val="5EA40ACC"/>
    <w:rsid w:val="5F3E66CC"/>
    <w:rsid w:val="60467663"/>
    <w:rsid w:val="60AA4DC1"/>
    <w:rsid w:val="61CF1AEB"/>
    <w:rsid w:val="61E367C9"/>
    <w:rsid w:val="622D3A1A"/>
    <w:rsid w:val="632D62D6"/>
    <w:rsid w:val="63CF6DDD"/>
    <w:rsid w:val="63DD24DE"/>
    <w:rsid w:val="64DA7F84"/>
    <w:rsid w:val="659B05F5"/>
    <w:rsid w:val="65AD6C6A"/>
    <w:rsid w:val="660C6946"/>
    <w:rsid w:val="664655D4"/>
    <w:rsid w:val="67D764BD"/>
    <w:rsid w:val="68272769"/>
    <w:rsid w:val="684C4452"/>
    <w:rsid w:val="689E4823"/>
    <w:rsid w:val="6A290D1C"/>
    <w:rsid w:val="6B6366CB"/>
    <w:rsid w:val="6B933AC9"/>
    <w:rsid w:val="6BBD4153"/>
    <w:rsid w:val="6BD42D3C"/>
    <w:rsid w:val="6C2E1DF8"/>
    <w:rsid w:val="6CC42BC0"/>
    <w:rsid w:val="6D642C4F"/>
    <w:rsid w:val="6E310F56"/>
    <w:rsid w:val="6E5F07A0"/>
    <w:rsid w:val="6F8048CD"/>
    <w:rsid w:val="706D4A62"/>
    <w:rsid w:val="70E3110F"/>
    <w:rsid w:val="720A5641"/>
    <w:rsid w:val="72541A86"/>
    <w:rsid w:val="72802C82"/>
    <w:rsid w:val="73F310C6"/>
    <w:rsid w:val="752F4EFA"/>
    <w:rsid w:val="763741B8"/>
    <w:rsid w:val="76874536"/>
    <w:rsid w:val="76E934DE"/>
    <w:rsid w:val="77101B99"/>
    <w:rsid w:val="77BB7A88"/>
    <w:rsid w:val="782C26F1"/>
    <w:rsid w:val="78604D14"/>
    <w:rsid w:val="788A03B6"/>
    <w:rsid w:val="78955F18"/>
    <w:rsid w:val="791A468C"/>
    <w:rsid w:val="796C3E5E"/>
    <w:rsid w:val="7A3C530D"/>
    <w:rsid w:val="7C22412D"/>
    <w:rsid w:val="7CA3581F"/>
    <w:rsid w:val="7D96647C"/>
    <w:rsid w:val="7E213D62"/>
    <w:rsid w:val="7E9152E4"/>
    <w:rsid w:val="7E9B2959"/>
    <w:rsid w:val="7F40044C"/>
    <w:rsid w:val="7F6132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qFormat="1" w:uiPriority="99"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locked/>
    <w:uiPriority w:val="0"/>
    <w:pPr>
      <w:keepNext/>
      <w:keepLines/>
      <w:widowControl w:val="0"/>
      <w:numPr>
        <w:ilvl w:val="0"/>
        <w:numId w:val="1"/>
      </w:numPr>
      <w:spacing w:before="240" w:after="0"/>
      <w:contextualSpacing w:val="0"/>
      <w:jc w:val="both"/>
      <w:outlineLvl w:val="0"/>
    </w:pPr>
    <w:rPr>
      <w:rFonts w:ascii="Arial" w:hAnsi="Arial" w:eastAsia="仿宋" w:cs="Arial"/>
      <w:b/>
      <w:bCs/>
      <w:kern w:val="2"/>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3">
    <w:name w:val="列表段落1"/>
    <w:basedOn w:val="1"/>
    <w:qFormat/>
    <w:uiPriority w:val="34"/>
    <w:pPr>
      <w:ind w:left="720"/>
      <w:contextualSpacing/>
    </w:pPr>
  </w:style>
  <w:style w:type="paragraph" w:styleId="4">
    <w:name w:val="Balloon Text"/>
    <w:basedOn w:val="1"/>
    <w:link w:val="15"/>
    <w:semiHidden/>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locked/>
    <w:uiPriority w:val="22"/>
    <w:rPr>
      <w:b/>
      <w:bCs/>
    </w:rPr>
  </w:style>
  <w:style w:type="character" w:styleId="12">
    <w:name w:val="page number"/>
    <w:basedOn w:val="10"/>
    <w:semiHidden/>
    <w:qFormat/>
    <w:uiPriority w:val="99"/>
    <w:rPr>
      <w:rFonts w:cs="Times New Roman"/>
    </w:rPr>
  </w:style>
  <w:style w:type="character" w:styleId="13">
    <w:name w:val="FollowedHyperlink"/>
    <w:basedOn w:val="10"/>
    <w:semiHidden/>
    <w:unhideWhenUsed/>
    <w:qFormat/>
    <w:uiPriority w:val="99"/>
    <w:rPr>
      <w:color w:val="954F72"/>
      <w:u w:val="single"/>
    </w:rPr>
  </w:style>
  <w:style w:type="character" w:styleId="14">
    <w:name w:val="Hyperlink"/>
    <w:basedOn w:val="10"/>
    <w:semiHidden/>
    <w:unhideWhenUsed/>
    <w:qFormat/>
    <w:uiPriority w:val="99"/>
    <w:rPr>
      <w:color w:val="0563C1"/>
      <w:u w:val="single"/>
    </w:rPr>
  </w:style>
  <w:style w:type="character" w:customStyle="1" w:styleId="15">
    <w:name w:val="批注框文本 字符"/>
    <w:basedOn w:val="10"/>
    <w:link w:val="4"/>
    <w:semiHidden/>
    <w:qFormat/>
    <w:locked/>
    <w:uiPriority w:val="99"/>
    <w:rPr>
      <w:rFonts w:cs="Times New Roman"/>
      <w:sz w:val="18"/>
      <w:szCs w:val="18"/>
    </w:rPr>
  </w:style>
  <w:style w:type="character" w:customStyle="1" w:styleId="16">
    <w:name w:val="页脚 字符"/>
    <w:basedOn w:val="10"/>
    <w:link w:val="5"/>
    <w:qFormat/>
    <w:locked/>
    <w:uiPriority w:val="99"/>
    <w:rPr>
      <w:rFonts w:cs="Times New Roman"/>
      <w:sz w:val="18"/>
      <w:szCs w:val="18"/>
    </w:rPr>
  </w:style>
  <w:style w:type="character" w:customStyle="1" w:styleId="17">
    <w:name w:val="页眉 字符"/>
    <w:basedOn w:val="10"/>
    <w:link w:val="6"/>
    <w:qFormat/>
    <w:locked/>
    <w:uiPriority w:val="99"/>
    <w:rPr>
      <w:rFonts w:cs="Times New Roman"/>
      <w:sz w:val="18"/>
      <w:szCs w:val="18"/>
    </w:rPr>
  </w:style>
  <w:style w:type="paragraph" w:customStyle="1" w:styleId="1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21">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
    <w:name w:val="xl6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24">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25">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2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7">
    <w:name w:val="xl7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8">
    <w:name w:val="xl71"/>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
    <w:name w:val="xl73"/>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1">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2">
    <w:name w:val="xl7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3">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8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xl8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3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4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table" w:customStyle="1" w:styleId="43">
    <w:name w:val="Table Normal"/>
    <w:unhideWhenUsed/>
    <w:qFormat/>
    <w:uiPriority w:val="0"/>
    <w:tblPr>
      <w:tblCellMar>
        <w:top w:w="0" w:type="dxa"/>
        <w:left w:w="0" w:type="dxa"/>
        <w:bottom w:w="0" w:type="dxa"/>
        <w:right w:w="0" w:type="dxa"/>
      </w:tblCellMar>
    </w:tblPr>
  </w:style>
  <w:style w:type="paragraph" w:customStyle="1" w:styleId="44">
    <w:name w:val="Table Text"/>
    <w:basedOn w:val="1"/>
    <w:semiHidden/>
    <w:qFormat/>
    <w:uiPriority w:val="0"/>
    <w:rPr>
      <w:rFonts w:ascii="微软雅黑" w:hAnsi="微软雅黑" w:eastAsia="微软雅黑" w:cs="微软雅黑"/>
      <w:sz w:val="24"/>
      <w:szCs w:val="24"/>
      <w:lang w:eastAsia="en-US"/>
    </w:rPr>
  </w:style>
  <w:style w:type="character" w:customStyle="1" w:styleId="45">
    <w:name w:val="font81"/>
    <w:basedOn w:val="10"/>
    <w:qFormat/>
    <w:uiPriority w:val="0"/>
    <w:rPr>
      <w:rFonts w:ascii="黑体" w:hAnsi="宋体" w:eastAsia="黑体" w:cs="黑体"/>
      <w:color w:val="000000"/>
      <w:sz w:val="24"/>
      <w:szCs w:val="24"/>
      <w:u w:val="none"/>
    </w:rPr>
  </w:style>
  <w:style w:type="character" w:customStyle="1" w:styleId="46">
    <w:name w:val="font31"/>
    <w:basedOn w:val="10"/>
    <w:qFormat/>
    <w:uiPriority w:val="0"/>
    <w:rPr>
      <w:rFonts w:hint="default" w:ascii="Times New Roman" w:hAnsi="Times New Roman" w:cs="Times New Roman"/>
      <w:color w:val="000000"/>
      <w:sz w:val="24"/>
      <w:szCs w:val="24"/>
      <w:u w:val="none"/>
    </w:rPr>
  </w:style>
  <w:style w:type="character" w:customStyle="1" w:styleId="47">
    <w:name w:val="font71"/>
    <w:basedOn w:val="10"/>
    <w:qFormat/>
    <w:uiPriority w:val="0"/>
    <w:rPr>
      <w:rFonts w:hint="eastAsia" w:ascii="宋体" w:hAnsi="宋体" w:eastAsia="宋体" w:cs="宋体"/>
      <w:color w:val="000000"/>
      <w:sz w:val="18"/>
      <w:szCs w:val="18"/>
      <w:u w:val="none"/>
    </w:rPr>
  </w:style>
  <w:style w:type="character" w:customStyle="1" w:styleId="48">
    <w:name w:val="font61"/>
    <w:basedOn w:val="10"/>
    <w:qFormat/>
    <w:uiPriority w:val="0"/>
    <w:rPr>
      <w:rFonts w:hint="default" w:ascii="Times New Roman" w:hAnsi="Times New Roman" w:cs="Times New Roman"/>
      <w:color w:val="000000"/>
      <w:sz w:val="18"/>
      <w:szCs w:val="18"/>
      <w:u w:val="none"/>
    </w:rPr>
  </w:style>
  <w:style w:type="character" w:customStyle="1" w:styleId="49">
    <w:name w:val="font91"/>
    <w:basedOn w:val="10"/>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Add:厦门市湖里区金钟路1号万达写字楼C3-1605   Tel：0592-5860771  Fax：5860770    http://www.xmyiming.com</Company>
  <Pages>8</Pages>
  <Words>1970</Words>
  <Characters>3020</Characters>
  <Lines>1818</Lines>
  <Paragraphs>519</Paragraphs>
  <TotalTime>31</TotalTime>
  <ScaleCrop>false</ScaleCrop>
  <LinksUpToDate>false</LinksUpToDate>
  <CharactersWithSpaces>3207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2024-12-27T02:21:00Z</dcterms:created>
  <dc:creator>111</dc:creator>
  <cp:lastModifiedBy>Brown</cp:lastModifiedBy>
  <cp:lastPrinted>2014-04-29T02:10:00Z</cp:lastPrinted>
  <dcterms:modified xsi:type="dcterms:W3CDTF">2026-06-22T03:39:23Z</dcterms:modified>
  <dc:title>气体检测仪检测服务协议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143039AEDF414C32B07D7EF8018806EB_13</vt:lpwstr>
  </property>
  <property fmtid="{D5CDD505-2E9C-101B-9397-08002B2CF9AE}" pid="4" name="KSOTemplateDocerSaveRecord">
    <vt:lpwstr>eyJoZGlkIjoiYzFhY2I4MWExYjVkOTdjZTQxZGNkMDc0NWIxOTI3MzkiLCJ1c2VySWQiOiIyMDU0Mjg2NDUifQ==</vt:lpwstr>
  </property>
</Properties>
</file>